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宋体"/>
          <w:b/>
          <w:color w:val="000000" w:themeColor="text1"/>
          <w:sz w:val="72"/>
        </w:rPr>
      </w:pPr>
    </w:p>
    <w:p>
      <w:pPr>
        <w:spacing w:line="500" w:lineRule="exact"/>
        <w:jc w:val="center"/>
        <w:rPr>
          <w:rFonts w:eastAsia="宋体"/>
          <w:b/>
          <w:color w:val="000000" w:themeColor="text1"/>
          <w:sz w:val="72"/>
        </w:rPr>
      </w:pPr>
    </w:p>
    <w:p>
      <w:pPr>
        <w:spacing w:line="360" w:lineRule="auto"/>
        <w:jc w:val="center"/>
        <w:rPr>
          <w:rFonts w:eastAsia="宋体"/>
          <w:color w:val="000000" w:themeColor="text1"/>
          <w:sz w:val="72"/>
        </w:rPr>
      </w:pPr>
      <w:r>
        <w:rPr>
          <w:rFonts w:hint="eastAsia" w:eastAsia="宋体"/>
          <w:b/>
          <w:color w:val="000000" w:themeColor="text1"/>
          <w:sz w:val="72"/>
        </w:rPr>
        <w:t>南 开 大 学</w:t>
      </w:r>
    </w:p>
    <w:p>
      <w:pPr>
        <w:spacing w:line="360" w:lineRule="auto"/>
        <w:ind w:firstLine="420"/>
        <w:jc w:val="center"/>
        <w:rPr>
          <w:rFonts w:eastAsia="宋体"/>
          <w:color w:val="000000" w:themeColor="text1"/>
        </w:rPr>
      </w:pPr>
    </w:p>
    <w:p>
      <w:pPr>
        <w:spacing w:line="360" w:lineRule="auto"/>
        <w:jc w:val="center"/>
        <w:rPr>
          <w:rFonts w:eastAsia="宋体"/>
          <w:bCs/>
          <w:color w:val="000000" w:themeColor="text1"/>
          <w:sz w:val="52"/>
        </w:rPr>
      </w:pPr>
      <w:r>
        <w:rPr>
          <w:rFonts w:hint="eastAsia" w:eastAsia="宋体"/>
          <w:bCs/>
          <w:color w:val="000000" w:themeColor="text1"/>
          <w:sz w:val="52"/>
        </w:rPr>
        <w:t>本 科 生 学 年 论 文（设 计）</w:t>
      </w:r>
    </w:p>
    <w:p>
      <w:pPr>
        <w:spacing w:line="360" w:lineRule="auto"/>
        <w:jc w:val="center"/>
        <w:rPr>
          <w:rFonts w:eastAsia="宋体"/>
          <w:color w:val="000000" w:themeColor="text1"/>
          <w:sz w:val="28"/>
          <w:u w:val="single"/>
        </w:rPr>
      </w:pPr>
    </w:p>
    <w:p>
      <w:pPr>
        <w:spacing w:line="360" w:lineRule="auto"/>
        <w:jc w:val="center"/>
        <w:rPr>
          <w:rFonts w:eastAsia="宋体"/>
          <w:color w:val="000000" w:themeColor="text1"/>
          <w:sz w:val="30"/>
        </w:rPr>
      </w:pPr>
    </w:p>
    <w:p>
      <w:pPr>
        <w:spacing w:line="360" w:lineRule="auto"/>
        <w:jc w:val="both"/>
        <w:rPr>
          <w:rFonts w:ascii="楷体" w:hAnsi="楷体" w:eastAsia="楷体" w:cs="楷体"/>
          <w:color w:val="000000" w:themeColor="text1"/>
          <w:sz w:val="32"/>
          <w:szCs w:val="32"/>
          <w:u w:val="single"/>
        </w:rPr>
      </w:pPr>
      <w:r>
        <w:rPr>
          <w:rFonts w:eastAsia="宋体" w:asciiTheme="majorBidi" w:hAnsiTheme="majorBidi" w:cstheme="majorBidi"/>
          <w:b/>
          <w:color w:val="000000" w:themeColor="text1"/>
          <w:sz w:val="32"/>
          <w:szCs w:val="32"/>
        </w:rPr>
        <w:t>中文题目：</w:t>
      </w:r>
      <w:r>
        <w:rPr>
          <w:rFonts w:hint="eastAsia" w:ascii="楷体" w:hAnsi="楷体" w:eastAsia="楷体" w:cs="楷体"/>
          <w:color w:val="000000" w:themeColor="text1"/>
          <w:sz w:val="32"/>
          <w:szCs w:val="32"/>
          <w:u w:val="single"/>
        </w:rPr>
        <w:t xml:space="preserve">论斯宾诺莎哲学中的三元结构                </w:t>
      </w:r>
    </w:p>
    <w:p>
      <w:pPr>
        <w:spacing w:line="360" w:lineRule="auto"/>
        <w:jc w:val="both"/>
        <w:rPr>
          <w:rFonts w:ascii="楷体" w:hAnsi="楷体" w:eastAsia="楷体" w:cs="楷体"/>
          <w:color w:val="000000" w:themeColor="text1"/>
          <w:sz w:val="30"/>
          <w:szCs w:val="30"/>
        </w:rPr>
      </w:pPr>
      <w:r>
        <w:rPr>
          <w:rFonts w:hint="eastAsia" w:ascii="楷体" w:hAnsi="楷体" w:eastAsia="楷体" w:cs="楷体"/>
          <w:sz w:val="32"/>
          <w:szCs w:val="32"/>
        </w:rPr>
        <w:t xml:space="preserve">          </w:t>
      </w:r>
      <w:r>
        <w:rPr>
          <w:rFonts w:hint="eastAsia" w:ascii="楷体" w:hAnsi="楷体" w:eastAsia="楷体" w:cs="楷体"/>
          <w:sz w:val="32"/>
          <w:szCs w:val="32"/>
          <w:u w:val="single"/>
        </w:rPr>
        <w:t xml:space="preserve">     </w:t>
      </w:r>
      <w:r>
        <w:rPr>
          <w:rFonts w:hint="eastAsia" w:ascii="楷体" w:hAnsi="楷体" w:eastAsia="楷体" w:cs="楷体"/>
          <w:color w:val="000000" w:themeColor="text1"/>
          <w:sz w:val="32"/>
          <w:szCs w:val="32"/>
          <w:u w:val="single"/>
        </w:rPr>
        <w:t xml:space="preserve">       ——一种力量的形而上学        </w:t>
      </w:r>
    </w:p>
    <w:p>
      <w:pPr>
        <w:spacing w:line="360" w:lineRule="auto"/>
        <w:jc w:val="both"/>
        <w:rPr>
          <w:rFonts w:ascii="楷体" w:hAnsi="楷体" w:eastAsia="楷体" w:cs="楷体"/>
          <w:color w:val="000000" w:themeColor="text1"/>
          <w:sz w:val="32"/>
          <w:szCs w:val="32"/>
          <w:u w:val="single"/>
        </w:rPr>
      </w:pPr>
      <w:r>
        <w:rPr>
          <w:rFonts w:eastAsia="宋体" w:asciiTheme="majorBidi" w:hAnsiTheme="majorBidi" w:cstheme="majorBidi"/>
          <w:b/>
          <w:color w:val="000000" w:themeColor="text1"/>
          <w:sz w:val="32"/>
          <w:szCs w:val="32"/>
        </w:rPr>
        <w:t>外文题目：</w:t>
      </w:r>
      <w:r>
        <w:rPr>
          <w:rFonts w:eastAsia="宋体"/>
          <w:color w:val="000000" w:themeColor="text1"/>
          <w:sz w:val="28"/>
          <w:szCs w:val="28"/>
          <w:u w:val="single"/>
        </w:rPr>
        <w:t>A Study of the Tripartite-Structure in Spinoza’s Philosophy</w:t>
      </w:r>
      <w:r>
        <w:rPr>
          <w:rFonts w:hint="eastAsia" w:ascii="楷体" w:hAnsi="楷体" w:eastAsia="楷体" w:cs="楷体"/>
          <w:color w:val="000000" w:themeColor="text1"/>
          <w:sz w:val="32"/>
          <w:szCs w:val="32"/>
          <w:u w:val="single"/>
        </w:rPr>
        <w:t xml:space="preserve"> </w:t>
      </w:r>
    </w:p>
    <w:p>
      <w:pPr>
        <w:spacing w:line="360" w:lineRule="auto"/>
        <w:jc w:val="both"/>
        <w:rPr>
          <w:rFonts w:ascii="楷体" w:hAnsi="楷体" w:eastAsia="宋体" w:cs="楷体"/>
          <w:color w:val="000000" w:themeColor="text1"/>
          <w:sz w:val="32"/>
          <w:szCs w:val="32"/>
          <w:u w:val="single"/>
        </w:rPr>
      </w:pPr>
      <w:r>
        <w:rPr>
          <w:rFonts w:hint="eastAsia" w:ascii="楷体" w:hAnsi="楷体" w:eastAsia="楷体" w:cs="楷体"/>
          <w:color w:val="000000" w:themeColor="text1"/>
          <w:sz w:val="32"/>
          <w:szCs w:val="32"/>
        </w:rPr>
        <w:t xml:space="preserve">          </w:t>
      </w:r>
      <w:r>
        <w:rPr>
          <w:rFonts w:hint="eastAsia" w:ascii="楷体" w:hAnsi="楷体" w:eastAsia="楷体" w:cs="楷体"/>
          <w:color w:val="000000" w:themeColor="text1"/>
          <w:sz w:val="32"/>
          <w:szCs w:val="32"/>
          <w:u w:val="single"/>
        </w:rPr>
        <w:t xml:space="preserve">            ——</w:t>
      </w:r>
      <w:r>
        <w:rPr>
          <w:rFonts w:hint="eastAsia" w:eastAsia="宋体"/>
          <w:color w:val="000000" w:themeColor="text1"/>
          <w:sz w:val="28"/>
          <w:szCs w:val="28"/>
          <w:u w:val="single"/>
        </w:rPr>
        <w:t xml:space="preserve">A Metaphysics of Power          </w:t>
      </w:r>
    </w:p>
    <w:p>
      <w:pPr>
        <w:spacing w:line="360" w:lineRule="auto"/>
        <w:jc w:val="center"/>
        <w:rPr>
          <w:rFonts w:eastAsia="宋体"/>
          <w:color w:val="000000" w:themeColor="text1"/>
          <w:sz w:val="28"/>
          <w:u w:val="single"/>
        </w:rPr>
      </w:pPr>
    </w:p>
    <w:p>
      <w:pPr>
        <w:spacing w:line="360" w:lineRule="auto"/>
        <w:jc w:val="center"/>
        <w:rPr>
          <w:rFonts w:eastAsia="楷体_GB2312"/>
          <w:bCs/>
          <w:sz w:val="36"/>
          <w:szCs w:val="36"/>
        </w:rPr>
      </w:pPr>
    </w:p>
    <w:p>
      <w:pPr>
        <w:spacing w:line="360" w:lineRule="auto"/>
        <w:ind w:firstLine="2691" w:firstLineChars="1117"/>
        <w:rPr>
          <w:rFonts w:eastAsia="宋体"/>
          <w:bCs/>
          <w:u w:val="single"/>
        </w:rPr>
      </w:pPr>
      <w:r>
        <w:rPr>
          <w:rFonts w:hint="eastAsia" w:eastAsia="宋体"/>
          <w:b/>
        </w:rPr>
        <w:t>学    号：</w:t>
      </w:r>
      <w:r>
        <w:rPr>
          <w:rFonts w:hint="eastAsia" w:eastAsia="宋体"/>
          <w:bCs/>
          <w:u w:val="single"/>
        </w:rPr>
        <w:t xml:space="preserve"> </w:t>
      </w:r>
      <w:r>
        <w:rPr>
          <w:rFonts w:eastAsia="宋体"/>
          <w:bCs/>
          <w:u w:val="single"/>
        </w:rPr>
        <w:t xml:space="preserve">            </w:t>
      </w:r>
    </w:p>
    <w:p>
      <w:pPr>
        <w:spacing w:line="360" w:lineRule="auto"/>
        <w:ind w:firstLine="2691" w:firstLineChars="1117"/>
        <w:rPr>
          <w:rFonts w:eastAsia="宋体"/>
        </w:rPr>
      </w:pPr>
      <w:r>
        <w:rPr>
          <w:rFonts w:hint="eastAsia" w:eastAsia="宋体"/>
          <w:b/>
        </w:rPr>
        <w:t>姓    名：</w:t>
      </w:r>
      <w:r>
        <w:rPr>
          <w:rFonts w:eastAsia="宋体"/>
          <w:color w:val="000000" w:themeColor="text1"/>
          <w:u w:val="single"/>
        </w:rPr>
        <w:t xml:space="preserve"> </w:t>
      </w:r>
      <w:r>
        <w:rPr>
          <w:rFonts w:hint="eastAsia" w:eastAsia="宋体"/>
          <w:color w:val="000000" w:themeColor="text1"/>
          <w:u w:val="single"/>
        </w:rPr>
        <w:t xml:space="preserve">    </w:t>
      </w:r>
      <w:r>
        <w:rPr>
          <w:rFonts w:eastAsia="宋体"/>
          <w:color w:val="000000" w:themeColor="text1"/>
          <w:u w:val="single"/>
        </w:rPr>
        <w:t xml:space="preserve">  </w:t>
      </w:r>
      <w:r>
        <w:rPr>
          <w:rFonts w:hint="eastAsia" w:eastAsia="宋体"/>
          <w:color w:val="000000" w:themeColor="text1"/>
          <w:u w:val="single"/>
        </w:rPr>
        <w:t xml:space="preserve"> </w:t>
      </w:r>
      <w:r>
        <w:rPr>
          <w:rFonts w:eastAsia="宋体"/>
          <w:color w:val="000000" w:themeColor="text1"/>
          <w:u w:val="single"/>
        </w:rPr>
        <w:t xml:space="preserve">  </w:t>
      </w:r>
      <w:r>
        <w:rPr>
          <w:rFonts w:hint="eastAsia" w:eastAsia="宋体"/>
          <w:color w:val="000000" w:themeColor="text1"/>
          <w:u w:val="single"/>
        </w:rPr>
        <w:t xml:space="preserve">   </w:t>
      </w:r>
    </w:p>
    <w:p>
      <w:pPr>
        <w:spacing w:line="360" w:lineRule="auto"/>
        <w:ind w:firstLine="2691" w:firstLineChars="1117"/>
        <w:rPr>
          <w:rFonts w:eastAsia="宋体"/>
          <w:u w:val="single"/>
        </w:rPr>
      </w:pPr>
      <w:r>
        <w:rPr>
          <w:rFonts w:hint="eastAsia" w:eastAsia="宋体"/>
          <w:b/>
        </w:rPr>
        <w:t>年    级：</w:t>
      </w:r>
      <w:r>
        <w:rPr>
          <w:rFonts w:hint="eastAsia" w:eastAsia="宋体"/>
          <w:color w:val="000000" w:themeColor="text1"/>
          <w:u w:val="single"/>
        </w:rPr>
        <w:t xml:space="preserve">   </w:t>
      </w:r>
      <w:r>
        <w:rPr>
          <w:rFonts w:eastAsia="宋体"/>
          <w:color w:val="000000" w:themeColor="text1"/>
          <w:u w:val="single"/>
        </w:rPr>
        <w:t xml:space="preserve">       </w:t>
      </w:r>
      <w:r>
        <w:rPr>
          <w:rFonts w:hint="eastAsia" w:eastAsia="宋体"/>
          <w:color w:val="000000" w:themeColor="text1"/>
          <w:u w:val="single"/>
        </w:rPr>
        <w:t xml:space="preserve">   </w:t>
      </w:r>
    </w:p>
    <w:p>
      <w:pPr>
        <w:spacing w:line="360" w:lineRule="auto"/>
        <w:ind w:firstLine="2691" w:firstLineChars="1117"/>
        <w:rPr>
          <w:rFonts w:eastAsia="宋体"/>
        </w:rPr>
      </w:pPr>
      <w:r>
        <w:rPr>
          <w:rFonts w:hint="eastAsia" w:eastAsia="宋体"/>
          <w:b/>
        </w:rPr>
        <w:t>专    业：</w:t>
      </w:r>
      <w:r>
        <w:rPr>
          <w:rFonts w:hint="eastAsia" w:eastAsia="宋体"/>
          <w:color w:val="000000" w:themeColor="text1"/>
          <w:u w:val="single"/>
        </w:rPr>
        <w:t xml:space="preserve">    </w:t>
      </w:r>
      <w:r>
        <w:rPr>
          <w:rFonts w:eastAsia="宋体"/>
          <w:color w:val="000000" w:themeColor="text1"/>
          <w:u w:val="single"/>
        </w:rPr>
        <w:t xml:space="preserve"> </w:t>
      </w:r>
      <w:r>
        <w:rPr>
          <w:rFonts w:hint="eastAsia" w:eastAsia="宋体"/>
          <w:color w:val="000000" w:themeColor="text1"/>
          <w:u w:val="single"/>
        </w:rPr>
        <w:t xml:space="preserve">  </w:t>
      </w:r>
      <w:r>
        <w:rPr>
          <w:rFonts w:eastAsia="宋体"/>
          <w:color w:val="000000" w:themeColor="text1"/>
          <w:u w:val="single"/>
        </w:rPr>
        <w:t xml:space="preserve">   </w:t>
      </w:r>
      <w:r>
        <w:rPr>
          <w:rFonts w:hint="eastAsia" w:eastAsia="宋体"/>
          <w:color w:val="000000" w:themeColor="text1"/>
          <w:u w:val="single"/>
        </w:rPr>
        <w:t xml:space="preserve">   </w:t>
      </w:r>
    </w:p>
    <w:p>
      <w:pPr>
        <w:spacing w:line="360" w:lineRule="auto"/>
        <w:ind w:firstLine="2691" w:firstLineChars="1117"/>
        <w:rPr>
          <w:rFonts w:eastAsia="宋体"/>
          <w:color w:val="000000" w:themeColor="text1"/>
          <w:u w:val="single"/>
        </w:rPr>
      </w:pPr>
      <w:r>
        <w:rPr>
          <w:rFonts w:hint="eastAsia" w:eastAsia="宋体"/>
          <w:b/>
        </w:rPr>
        <w:t>学    院：</w:t>
      </w:r>
      <w:r>
        <w:rPr>
          <w:rFonts w:hint="eastAsia" w:eastAsia="宋体"/>
          <w:color w:val="000000" w:themeColor="text1"/>
          <w:u w:val="single"/>
        </w:rPr>
        <w:t xml:space="preserve"> </w:t>
      </w:r>
      <w:r>
        <w:rPr>
          <w:rFonts w:eastAsia="宋体"/>
          <w:color w:val="000000" w:themeColor="text1"/>
          <w:u w:val="single"/>
        </w:rPr>
        <w:t xml:space="preserve">  </w:t>
      </w:r>
      <w:r>
        <w:rPr>
          <w:rFonts w:hint="eastAsia" w:eastAsia="宋体"/>
          <w:color w:val="000000" w:themeColor="text1"/>
          <w:u w:val="single"/>
        </w:rPr>
        <w:t>哲学院</w:t>
      </w:r>
      <w:r>
        <w:rPr>
          <w:rFonts w:eastAsia="宋体"/>
          <w:color w:val="000000" w:themeColor="text1"/>
          <w:u w:val="single"/>
        </w:rPr>
        <w:t xml:space="preserve">  </w:t>
      </w:r>
      <w:r>
        <w:rPr>
          <w:rFonts w:hint="eastAsia" w:eastAsia="宋体"/>
          <w:color w:val="000000" w:themeColor="text1"/>
          <w:u w:val="single"/>
        </w:rPr>
        <w:t xml:space="preserve">  </w:t>
      </w:r>
    </w:p>
    <w:p>
      <w:pPr>
        <w:spacing w:line="360" w:lineRule="auto"/>
        <w:ind w:firstLine="2691" w:firstLineChars="1117"/>
        <w:rPr>
          <w:rFonts w:eastAsia="宋体"/>
          <w:bCs/>
        </w:rPr>
      </w:pPr>
      <w:r>
        <w:rPr>
          <w:rFonts w:hint="eastAsia" w:eastAsia="宋体"/>
          <w:b/>
        </w:rPr>
        <w:t xml:space="preserve">系 </w:t>
      </w:r>
      <w:r>
        <w:rPr>
          <w:rFonts w:eastAsia="宋体"/>
          <w:b/>
        </w:rPr>
        <w:t xml:space="preserve">   </w:t>
      </w:r>
      <w:r>
        <w:rPr>
          <w:rFonts w:hint="eastAsia" w:eastAsia="宋体"/>
          <w:b/>
        </w:rPr>
        <w:t>别：</w:t>
      </w:r>
      <w:r>
        <w:rPr>
          <w:rFonts w:hint="eastAsia" w:eastAsia="宋体"/>
          <w:bCs/>
          <w:color w:val="000000" w:themeColor="text1"/>
          <w:u w:val="single"/>
        </w:rPr>
        <w:t xml:space="preserve"> </w:t>
      </w:r>
      <w:r>
        <w:rPr>
          <w:rFonts w:eastAsia="宋体"/>
          <w:bCs/>
          <w:color w:val="000000" w:themeColor="text1"/>
          <w:u w:val="single"/>
        </w:rPr>
        <w:t xml:space="preserve">            </w:t>
      </w:r>
    </w:p>
    <w:p>
      <w:pPr>
        <w:spacing w:line="360" w:lineRule="auto"/>
        <w:ind w:firstLine="2691" w:firstLineChars="1117"/>
        <w:rPr>
          <w:rFonts w:eastAsia="宋体"/>
          <w:color w:val="000000" w:themeColor="text1"/>
        </w:rPr>
      </w:pPr>
      <w:r>
        <w:rPr>
          <w:rFonts w:hint="eastAsia" w:eastAsia="宋体"/>
          <w:b/>
        </w:rPr>
        <w:t>指导教师：</w:t>
      </w:r>
      <w:r>
        <w:rPr>
          <w:rFonts w:hint="eastAsia" w:eastAsia="宋体"/>
          <w:color w:val="000000" w:themeColor="text1"/>
          <w:u w:val="single"/>
        </w:rPr>
        <w:t xml:space="preserve">      </w:t>
      </w:r>
      <w:r>
        <w:rPr>
          <w:rFonts w:eastAsia="宋体"/>
          <w:color w:val="000000" w:themeColor="text1"/>
          <w:u w:val="single"/>
        </w:rPr>
        <w:t xml:space="preserve"> </w:t>
      </w:r>
      <w:r>
        <w:rPr>
          <w:rFonts w:hint="eastAsia" w:eastAsia="宋体"/>
          <w:color w:val="000000" w:themeColor="text1"/>
          <w:u w:val="single"/>
        </w:rPr>
        <w:t xml:space="preserve"> </w:t>
      </w:r>
      <w:r>
        <w:rPr>
          <w:rFonts w:eastAsia="宋体"/>
          <w:color w:val="000000" w:themeColor="text1"/>
          <w:u w:val="single"/>
        </w:rPr>
        <w:t xml:space="preserve">     </w:t>
      </w:r>
    </w:p>
    <w:p>
      <w:pPr>
        <w:spacing w:line="360" w:lineRule="auto"/>
        <w:ind w:firstLine="2691" w:firstLineChars="1117"/>
        <w:rPr>
          <w:rFonts w:eastAsia="宋体"/>
          <w:u w:val="single"/>
        </w:rPr>
      </w:pPr>
      <w:r>
        <w:rPr>
          <w:rFonts w:hint="eastAsia" w:eastAsia="宋体"/>
          <w:b/>
        </w:rPr>
        <w:t>完成日期：</w:t>
      </w:r>
      <w:r>
        <w:rPr>
          <w:rFonts w:hint="eastAsia" w:eastAsia="宋体"/>
          <w:color w:val="000000" w:themeColor="text1"/>
          <w:u w:val="single"/>
        </w:rPr>
        <w:t xml:space="preserve"> </w:t>
      </w:r>
      <w:r>
        <w:rPr>
          <w:rFonts w:eastAsia="宋体"/>
          <w:color w:val="000000" w:themeColor="text1"/>
          <w:u w:val="single"/>
        </w:rPr>
        <w:t xml:space="preserve"> </w:t>
      </w:r>
      <w:r>
        <w:rPr>
          <w:rFonts w:hint="eastAsia" w:eastAsia="宋体"/>
          <w:color w:val="000000" w:themeColor="text1"/>
          <w:spacing w:val="-10"/>
          <w:u w:val="single"/>
        </w:rPr>
        <w:t xml:space="preserve">2020年 4月  </w:t>
      </w:r>
    </w:p>
    <w:p>
      <w:pPr>
        <w:pStyle w:val="2"/>
        <w:spacing w:line="360" w:lineRule="auto"/>
        <w:rPr>
          <w:rFonts w:ascii="黑体" w:hAnsi="黑体" w:eastAsia="黑体" w:cs="黑体"/>
          <w:b w:val="0"/>
          <w:bCs w:val="0"/>
          <w:sz w:val="28"/>
          <w:szCs w:val="28"/>
        </w:rPr>
        <w:sectPr>
          <w:headerReference r:id="rId4" w:type="default"/>
          <w:footerReference r:id="rId5" w:type="default"/>
          <w:footerReference r:id="rId6" w:type="even"/>
          <w:footnotePr>
            <w:numFmt w:val="decimalEnclosedCircleChinese"/>
            <w:numRestart w:val="eachPage"/>
          </w:footnotePr>
          <w:pgSz w:w="11900" w:h="16840"/>
          <w:pgMar w:top="1440" w:right="1797" w:bottom="1440" w:left="1797" w:header="850" w:footer="992" w:gutter="0"/>
          <w:cols w:space="425" w:num="1"/>
          <w:titlePg/>
          <w:docGrid w:type="lines" w:linePitch="326" w:charSpace="0"/>
        </w:sectPr>
      </w:pPr>
      <w:bookmarkStart w:id="0" w:name="_Toc38901530"/>
      <w:bookmarkStart w:id="1" w:name="_Toc38903774"/>
    </w:p>
    <w:p>
      <w:pPr>
        <w:pStyle w:val="2"/>
        <w:spacing w:line="360" w:lineRule="auto"/>
        <w:rPr>
          <w:rFonts w:ascii="黑体" w:hAnsi="黑体" w:eastAsia="黑体" w:cs="黑体"/>
          <w:b w:val="0"/>
          <w:bCs w:val="0"/>
          <w:sz w:val="28"/>
          <w:szCs w:val="28"/>
        </w:rPr>
      </w:pPr>
      <w:r>
        <w:rPr>
          <w:rFonts w:hint="eastAsia" w:ascii="黑体" w:hAnsi="黑体" w:eastAsia="黑体" w:cs="黑体"/>
          <w:b w:val="0"/>
          <w:bCs w:val="0"/>
          <w:sz w:val="28"/>
          <w:szCs w:val="28"/>
        </w:rPr>
        <w:t>摘  要</w:t>
      </w:r>
      <w:bookmarkEnd w:id="0"/>
      <w:bookmarkEnd w:id="1"/>
    </w:p>
    <w:p>
      <w:pPr>
        <w:spacing w:line="360" w:lineRule="auto"/>
        <w:ind w:firstLine="480" w:firstLineChars="200"/>
        <w:jc w:val="both"/>
        <w:rPr>
          <w:rFonts w:eastAsia="宋体" w:asciiTheme="majorBidi" w:hAnsiTheme="majorBidi" w:cstheme="majorBidi"/>
          <w:szCs w:val="32"/>
        </w:rPr>
      </w:pPr>
      <w:r>
        <w:rPr>
          <w:rFonts w:hint="eastAsia" w:eastAsia="宋体" w:asciiTheme="majorBidi" w:hAnsiTheme="majorBidi" w:cstheme="majorBidi"/>
          <w:szCs w:val="32"/>
        </w:rPr>
        <w:t>在</w:t>
      </w:r>
      <w:r>
        <w:rPr>
          <w:rFonts w:eastAsia="宋体" w:asciiTheme="majorBidi" w:hAnsiTheme="majorBidi" w:cstheme="majorBidi"/>
          <w:szCs w:val="32"/>
        </w:rPr>
        <w:t>斯宾诺莎的哲学</w:t>
      </w:r>
      <w:r>
        <w:rPr>
          <w:rFonts w:hint="eastAsia" w:eastAsia="宋体" w:asciiTheme="majorBidi" w:hAnsiTheme="majorBidi" w:cstheme="majorBidi"/>
          <w:szCs w:val="32"/>
        </w:rPr>
        <w:t>中始终存在着两条线索，一条是“</w:t>
      </w:r>
      <w:r>
        <w:rPr>
          <w:rFonts w:eastAsia="宋体" w:asciiTheme="majorBidi" w:hAnsiTheme="majorBidi" w:cstheme="majorBidi"/>
          <w:szCs w:val="32"/>
        </w:rPr>
        <w:t>实体</w:t>
      </w:r>
      <w:r>
        <w:rPr>
          <w:rFonts w:hint="eastAsia" w:eastAsia="宋体" w:asciiTheme="majorBidi" w:hAnsiTheme="majorBidi" w:cstheme="majorBidi"/>
          <w:szCs w:val="32"/>
        </w:rPr>
        <w:t>——</w:t>
      </w:r>
      <w:r>
        <w:rPr>
          <w:rFonts w:eastAsia="宋体" w:asciiTheme="majorBidi" w:hAnsiTheme="majorBidi" w:cstheme="majorBidi"/>
          <w:szCs w:val="32"/>
        </w:rPr>
        <w:t>属性</w:t>
      </w:r>
      <w:r>
        <w:rPr>
          <w:rFonts w:hint="eastAsia" w:eastAsia="宋体" w:asciiTheme="majorBidi" w:hAnsiTheme="majorBidi" w:cstheme="majorBidi"/>
          <w:szCs w:val="32"/>
        </w:rPr>
        <w:t>”</w:t>
      </w:r>
      <w:r>
        <w:rPr>
          <w:rFonts w:eastAsia="宋体" w:asciiTheme="majorBidi" w:hAnsiTheme="majorBidi" w:cstheme="majorBidi"/>
          <w:szCs w:val="32"/>
        </w:rPr>
        <w:t>线索，</w:t>
      </w:r>
      <w:r>
        <w:rPr>
          <w:rFonts w:hint="eastAsia" w:eastAsia="宋体" w:asciiTheme="majorBidi" w:hAnsiTheme="majorBidi" w:cstheme="majorBidi"/>
          <w:szCs w:val="32"/>
        </w:rPr>
        <w:t>一条是“</w:t>
      </w:r>
      <w:r>
        <w:rPr>
          <w:rFonts w:eastAsia="宋体" w:asciiTheme="majorBidi" w:hAnsiTheme="majorBidi" w:cstheme="majorBidi"/>
          <w:szCs w:val="32"/>
        </w:rPr>
        <w:t>力量</w:t>
      </w:r>
      <w:r>
        <w:rPr>
          <w:rFonts w:hint="eastAsia" w:eastAsia="宋体" w:asciiTheme="majorBidi" w:hAnsiTheme="majorBidi" w:cstheme="majorBidi"/>
          <w:szCs w:val="32"/>
        </w:rPr>
        <w:t>——</w:t>
      </w:r>
      <w:r>
        <w:rPr>
          <w:rFonts w:eastAsia="宋体" w:asciiTheme="majorBidi" w:hAnsiTheme="majorBidi" w:cstheme="majorBidi"/>
          <w:szCs w:val="32"/>
        </w:rPr>
        <w:t>活性</w:t>
      </w:r>
      <w:r>
        <w:rPr>
          <w:rFonts w:hint="eastAsia" w:eastAsia="宋体" w:asciiTheme="majorBidi" w:hAnsiTheme="majorBidi" w:cstheme="majorBidi"/>
          <w:szCs w:val="32"/>
        </w:rPr>
        <w:t>”</w:t>
      </w:r>
      <w:r>
        <w:rPr>
          <w:rFonts w:eastAsia="宋体" w:asciiTheme="majorBidi" w:hAnsiTheme="majorBidi" w:cstheme="majorBidi"/>
          <w:szCs w:val="32"/>
        </w:rPr>
        <w:t>线索</w:t>
      </w:r>
      <w:r>
        <w:rPr>
          <w:rFonts w:hint="eastAsia" w:eastAsia="宋体" w:asciiTheme="majorBidi" w:hAnsiTheme="majorBidi" w:cstheme="majorBidi"/>
          <w:szCs w:val="32"/>
        </w:rPr>
        <w:t>。前</w:t>
      </w:r>
      <w:r>
        <w:rPr>
          <w:rFonts w:eastAsia="宋体" w:asciiTheme="majorBidi" w:hAnsiTheme="majorBidi" w:cstheme="majorBidi"/>
          <w:szCs w:val="32"/>
        </w:rPr>
        <w:t>者对应的是静力学（静态）阐释，后者对应的是动力学（动态）阐释。在后斯宾诺莎的时代，</w:t>
      </w:r>
      <w:r>
        <w:rPr>
          <w:rFonts w:hint="eastAsia" w:eastAsia="宋体" w:asciiTheme="majorBidi" w:hAnsiTheme="majorBidi" w:cstheme="majorBidi"/>
          <w:szCs w:val="32"/>
        </w:rPr>
        <w:t>前者常常以明线的形式出现，而</w:t>
      </w:r>
      <w:r>
        <w:rPr>
          <w:rFonts w:eastAsia="宋体" w:asciiTheme="majorBidi" w:hAnsiTheme="majorBidi" w:cstheme="majorBidi"/>
          <w:szCs w:val="32"/>
        </w:rPr>
        <w:t>以力量为核心的动力学阐释则常常</w:t>
      </w:r>
      <w:r>
        <w:rPr>
          <w:rFonts w:hint="eastAsia" w:eastAsia="宋体" w:asciiTheme="majorBidi" w:hAnsiTheme="majorBidi" w:cstheme="majorBidi"/>
          <w:szCs w:val="32"/>
        </w:rPr>
        <w:t>处于暗处而</w:t>
      </w:r>
      <w:r>
        <w:rPr>
          <w:rFonts w:eastAsia="宋体" w:asciiTheme="majorBidi" w:hAnsiTheme="majorBidi" w:cstheme="majorBidi"/>
          <w:szCs w:val="32"/>
        </w:rPr>
        <w:t>被忽视</w:t>
      </w:r>
      <w:r>
        <w:rPr>
          <w:rFonts w:hint="eastAsia" w:eastAsia="宋体" w:asciiTheme="majorBidi" w:hAnsiTheme="majorBidi" w:cstheme="majorBidi"/>
          <w:szCs w:val="32"/>
        </w:rPr>
        <w:t>。近些年来，对于斯宾诺莎哲学中的“力量”概念的研究逐渐发展，并出现将斯宾诺莎哲学作为一种“力量形而上学”的论调，这相较于早先对斯宾诺莎的静态化解读已经发生了很大的变化。对于斯宾诺莎哲学进行动力学阐释的经典版本出现在当代法国哲学家吉尔·德勒兹的博士论文《斯宾诺莎与表现问题》之中。通过对斯宾诺莎不同时期文本的梳理，德勒兹利用“表现”这一概念将斯宾诺莎的哲学体系解释为一种以“力量”概念为核心的哲学体系。本文则试图通过对斯宾诺莎原始文本的梳理，发掘斯宾诺莎哲学中隐含的“三一式”的阐释框架，并借助德勒兹的视角，揭示斯宾诺莎哲学中以力量为核心的三元结构，进而分别探讨力量与三元结构中不同因素的关系，</w:t>
      </w:r>
      <w:r>
        <w:rPr>
          <w:rFonts w:eastAsia="宋体" w:asciiTheme="majorBidi" w:hAnsiTheme="majorBidi" w:cstheme="majorBidi"/>
          <w:szCs w:val="32"/>
        </w:rPr>
        <w:t>以期获得</w:t>
      </w:r>
      <w:r>
        <w:rPr>
          <w:rFonts w:hint="eastAsia" w:eastAsia="宋体" w:asciiTheme="majorBidi" w:hAnsiTheme="majorBidi" w:cstheme="majorBidi"/>
          <w:szCs w:val="32"/>
        </w:rPr>
        <w:t>有关“力量形而上学”建构的</w:t>
      </w:r>
      <w:r>
        <w:rPr>
          <w:rFonts w:eastAsia="宋体" w:asciiTheme="majorBidi" w:hAnsiTheme="majorBidi" w:cstheme="majorBidi"/>
          <w:szCs w:val="32"/>
        </w:rPr>
        <w:t>不同启发。</w:t>
      </w:r>
    </w:p>
    <w:p>
      <w:pPr>
        <w:spacing w:line="360" w:lineRule="auto"/>
        <w:jc w:val="both"/>
        <w:rPr>
          <w:rFonts w:eastAsia="宋体" w:asciiTheme="majorBidi" w:hAnsiTheme="majorBidi" w:cstheme="majorBidi"/>
          <w:szCs w:val="32"/>
        </w:rPr>
      </w:pPr>
    </w:p>
    <w:p>
      <w:pPr>
        <w:spacing w:line="360" w:lineRule="auto"/>
        <w:jc w:val="both"/>
        <w:rPr>
          <w:rFonts w:eastAsia="宋体" w:asciiTheme="majorBidi" w:hAnsiTheme="majorBidi" w:cstheme="majorBidi"/>
          <w:szCs w:val="32"/>
        </w:rPr>
      </w:pPr>
      <w:r>
        <w:rPr>
          <w:rFonts w:hint="eastAsia" w:ascii="黑体" w:hAnsi="黑体" w:eastAsia="黑体" w:cs="黑体"/>
          <w:szCs w:val="32"/>
        </w:rPr>
        <w:t>关键词：</w:t>
      </w:r>
      <w:r>
        <w:rPr>
          <w:rFonts w:hint="eastAsia" w:eastAsia="宋体" w:asciiTheme="majorBidi" w:hAnsiTheme="majorBidi" w:cstheme="majorBidi"/>
          <w:szCs w:val="32"/>
        </w:rPr>
        <w:t>斯宾诺莎；力量；本质；存在；理智</w:t>
      </w:r>
    </w:p>
    <w:p>
      <w:pPr>
        <w:spacing w:line="360" w:lineRule="auto"/>
        <w:rPr>
          <w:rFonts w:ascii="宋体" w:hAnsi="宋体" w:eastAsia="宋体"/>
        </w:rPr>
      </w:pPr>
      <w:r>
        <w:rPr>
          <w:rFonts w:ascii="宋体" w:hAnsi="宋体" w:eastAsia="宋体"/>
        </w:rPr>
        <w:br w:type="page"/>
      </w:r>
    </w:p>
    <w:p>
      <w:pPr>
        <w:pStyle w:val="2"/>
        <w:spacing w:line="360" w:lineRule="auto"/>
        <w:rPr>
          <w:sz w:val="28"/>
          <w:szCs w:val="28"/>
        </w:rPr>
      </w:pPr>
      <w:bookmarkStart w:id="2" w:name="_Toc38903775"/>
      <w:bookmarkStart w:id="3" w:name="_Toc38901531"/>
      <w:r>
        <w:rPr>
          <w:sz w:val="28"/>
          <w:szCs w:val="28"/>
        </w:rPr>
        <w:t>Abstract</w:t>
      </w:r>
      <w:bookmarkEnd w:id="2"/>
      <w:bookmarkEnd w:id="3"/>
    </w:p>
    <w:p>
      <w:pPr>
        <w:spacing w:line="360" w:lineRule="auto"/>
        <w:ind w:firstLine="480" w:firstLineChars="200"/>
        <w:jc w:val="both"/>
        <w:rPr>
          <w:rFonts w:eastAsia="宋体" w:asciiTheme="majorBidi" w:hAnsiTheme="majorBidi" w:cstheme="majorBidi"/>
        </w:rPr>
      </w:pPr>
      <w:r>
        <w:rPr>
          <w:rFonts w:eastAsia="宋体" w:asciiTheme="majorBidi" w:hAnsiTheme="majorBidi" w:cstheme="majorBidi"/>
        </w:rPr>
        <w:t>There ha</w:t>
      </w:r>
      <w:r>
        <w:rPr>
          <w:rFonts w:hint="eastAsia" w:eastAsia="宋体" w:asciiTheme="majorBidi" w:hAnsiTheme="majorBidi" w:cstheme="majorBidi"/>
        </w:rPr>
        <w:t>ve</w:t>
      </w:r>
      <w:r>
        <w:rPr>
          <w:rFonts w:eastAsia="宋体" w:asciiTheme="majorBidi" w:hAnsiTheme="majorBidi" w:cstheme="majorBidi"/>
        </w:rPr>
        <w:t xml:space="preserve"> always been two clues long existing in Spinoza’s Philosophy: One is the clue of ‘substantia-at</w:t>
      </w:r>
      <w:r>
        <w:rPr>
          <w:rFonts w:hint="eastAsia" w:eastAsia="宋体" w:asciiTheme="majorBidi" w:hAnsiTheme="majorBidi" w:cstheme="majorBidi"/>
        </w:rPr>
        <w:t>t</w:t>
      </w:r>
      <w:r>
        <w:rPr>
          <w:rFonts w:eastAsia="宋体" w:asciiTheme="majorBidi" w:hAnsiTheme="majorBidi" w:cstheme="majorBidi"/>
        </w:rPr>
        <w:t xml:space="preserve">ributus’ and the other is the clue of ‘potentia-activity’. The former refers to the interpretation of statics (static state) and the latter refers to the interpretation of dynamics (dynamic state). In the post-Spinoza era, the former usually showed itself under the light, while the other usually hide itself in the shadow. In recent years, there has been a gradual development of the study that focused on the concept of ‘power’ in Spinoza’s philosophy, and even arises a view to regard Spinoza’s philosophy as a ‘metaphysics of power’, which has been a great change compared to the early time. The most typical edition of the interpretation of Spinoza’s philosophy </w:t>
      </w:r>
      <w:r>
        <w:rPr>
          <w:rFonts w:hint="eastAsia" w:eastAsia="宋体" w:asciiTheme="majorBidi" w:hAnsiTheme="majorBidi" w:cstheme="majorBidi"/>
        </w:rPr>
        <w:t>is</w:t>
      </w:r>
      <w:r>
        <w:rPr>
          <w:rFonts w:eastAsia="宋体" w:asciiTheme="majorBidi" w:hAnsiTheme="majorBidi" w:cstheme="majorBidi"/>
        </w:rPr>
        <w:t xml:space="preserve"> </w:t>
      </w:r>
      <w:r>
        <w:rPr>
          <w:rFonts w:eastAsia="宋体" w:asciiTheme="majorBidi" w:hAnsiTheme="majorBidi" w:cstheme="majorBidi"/>
          <w:i/>
          <w:iCs/>
        </w:rPr>
        <w:t>Spinoza et le probléme de l’expression</w:t>
      </w:r>
      <w:r>
        <w:rPr>
          <w:rFonts w:eastAsia="宋体" w:asciiTheme="majorBidi" w:hAnsiTheme="majorBidi" w:cstheme="majorBidi"/>
        </w:rPr>
        <w:t xml:space="preserve">, which is the doctoral thesis of the contemporary French philosopher Gilles Deleuze. He has interpreted the whole Spinoza’s system into a power-centered philosophy by analyzing Spinoza’s texts that belong to different periods. Based on the original works of Spinoza, this paper is trying to uncover the triads-interpretation-structure in Spinoza’s philosophy; and further, by using Deleuze’s perspective, this paper is also trying to reveal the tripartite-structure that is based on power in Spinoza’s philosophy. </w:t>
      </w:r>
      <w:r>
        <w:rPr>
          <w:rFonts w:hint="eastAsia" w:eastAsia="宋体" w:asciiTheme="majorBidi" w:hAnsiTheme="majorBidi" w:cstheme="majorBidi"/>
        </w:rPr>
        <w:t>B</w:t>
      </w:r>
      <w:r>
        <w:rPr>
          <w:rFonts w:eastAsia="宋体" w:asciiTheme="majorBidi" w:hAnsiTheme="majorBidi" w:cstheme="majorBidi"/>
        </w:rPr>
        <w:t>y the discussion between power and different elements in the tripartite-structure, an idea about the construction of the ‘metaphysics of power’ is hoping to be obtained.</w:t>
      </w:r>
    </w:p>
    <w:p>
      <w:pPr>
        <w:spacing w:line="360" w:lineRule="auto"/>
        <w:jc w:val="both"/>
        <w:rPr>
          <w:rFonts w:eastAsia="宋体" w:asciiTheme="majorBidi" w:hAnsiTheme="majorBidi" w:cstheme="majorBidi"/>
          <w:b/>
          <w:bCs/>
        </w:rPr>
      </w:pPr>
    </w:p>
    <w:p>
      <w:pPr>
        <w:spacing w:line="360" w:lineRule="auto"/>
        <w:jc w:val="both"/>
        <w:rPr>
          <w:rFonts w:eastAsia="宋体" w:asciiTheme="majorBidi" w:hAnsiTheme="majorBidi" w:cstheme="majorBidi"/>
        </w:rPr>
      </w:pPr>
      <w:r>
        <w:rPr>
          <w:rFonts w:eastAsia="宋体" w:asciiTheme="majorBidi" w:hAnsiTheme="majorBidi" w:cstheme="majorBidi"/>
          <w:b/>
          <w:bCs/>
        </w:rPr>
        <w:t>Keyword:</w:t>
      </w:r>
      <w:r>
        <w:rPr>
          <w:rFonts w:eastAsia="宋体" w:asciiTheme="majorBidi" w:hAnsiTheme="majorBidi" w:cstheme="majorBidi"/>
        </w:rPr>
        <w:t xml:space="preserve"> Spinoza; power; essence; existence; intellect</w:t>
      </w:r>
    </w:p>
    <w:p>
      <w:pPr>
        <w:pStyle w:val="13"/>
        <w:rPr>
          <w:rFonts w:ascii="黑体" w:hAnsi="黑体" w:eastAsia="黑体" w:cs="黑体"/>
          <w:b w:val="0"/>
          <w:bCs w:val="0"/>
        </w:rPr>
        <w:sectPr>
          <w:headerReference r:id="rId8" w:type="first"/>
          <w:footerReference r:id="rId10" w:type="first"/>
          <w:headerReference r:id="rId7" w:type="default"/>
          <w:footerReference r:id="rId9" w:type="default"/>
          <w:footnotePr>
            <w:numFmt w:val="decimalEnclosedCircleChinese"/>
            <w:numRestart w:val="eachPage"/>
          </w:footnotePr>
          <w:pgSz w:w="11900" w:h="16840"/>
          <w:pgMar w:top="1440" w:right="1797" w:bottom="1440" w:left="1797" w:header="850" w:footer="992" w:gutter="0"/>
          <w:pgNumType w:start="1"/>
          <w:cols w:space="425" w:num="1"/>
          <w:titlePg/>
          <w:docGrid w:type="lines" w:linePitch="326" w:charSpace="0"/>
        </w:sectPr>
      </w:pPr>
    </w:p>
    <w:p>
      <w:pPr>
        <w:pStyle w:val="13"/>
        <w:rPr>
          <w:rFonts w:ascii="黑体" w:hAnsi="黑体" w:eastAsia="黑体" w:cs="黑体"/>
          <w:b w:val="0"/>
          <w:bCs w:val="0"/>
        </w:rPr>
      </w:pPr>
      <w:r>
        <w:rPr>
          <w:rFonts w:hint="eastAsia" w:ascii="黑体" w:hAnsi="黑体" w:eastAsia="黑体" w:cs="黑体"/>
          <w:b w:val="0"/>
          <w:bCs w:val="0"/>
        </w:rPr>
        <w:t>目  录</w:t>
      </w:r>
    </w:p>
    <w:p>
      <w:pPr>
        <w:jc w:val="center"/>
        <w:rPr>
          <w:rFonts w:eastAsia="宋体"/>
          <w:lang w:val="de-DE"/>
        </w:rPr>
      </w:pPr>
    </w:p>
    <w:p>
      <w:pPr>
        <w:pStyle w:val="13"/>
        <w:rPr>
          <w:rFonts w:asciiTheme="majorBidi" w:hAnsiTheme="majorBidi" w:cstheme="majorBidi"/>
          <w:kern w:val="2"/>
          <w:sz w:val="30"/>
          <w:szCs w:val="30"/>
          <w:lang w:val="en-US"/>
        </w:rPr>
      </w:pPr>
      <w:r>
        <w:fldChar w:fldCharType="begin"/>
      </w:r>
      <w:r>
        <w:instrText xml:space="preserve"> TOC \o "1-2" \h \z \u </w:instrText>
      </w:r>
      <w:r>
        <w:fldChar w:fldCharType="separate"/>
      </w:r>
      <w:r>
        <w:fldChar w:fldCharType="begin"/>
      </w:r>
      <w:r>
        <w:instrText xml:space="preserve"> HYPERLINK \l "_Toc38903774" </w:instrText>
      </w:r>
      <w:r>
        <w:fldChar w:fldCharType="separate"/>
      </w:r>
      <w:r>
        <w:rPr>
          <w:rStyle w:val="26"/>
          <w:rFonts w:asciiTheme="majorBidi" w:hAnsiTheme="majorBidi" w:cstheme="majorBidi"/>
          <w:sz w:val="30"/>
          <w:szCs w:val="30"/>
        </w:rPr>
        <w:t>摘  要</w:t>
      </w:r>
      <w:r>
        <w:rPr>
          <w:rFonts w:asciiTheme="majorBidi" w:hAnsiTheme="majorBidi" w:cstheme="majorBidi"/>
          <w:sz w:val="30"/>
          <w:szCs w:val="30"/>
        </w:rPr>
        <w:tab/>
      </w:r>
      <w:r>
        <w:rPr>
          <w:rFonts w:hint="eastAsia" w:asciiTheme="majorBidi" w:hAnsiTheme="majorBidi" w:cstheme="majorBidi"/>
          <w:sz w:val="30"/>
          <w:szCs w:val="30"/>
          <w:lang w:val="en-US"/>
        </w:rPr>
        <w:t>0</w:t>
      </w:r>
      <w:r>
        <w:rPr>
          <w:rFonts w:hint="eastAsia" w:asciiTheme="majorBidi" w:hAnsiTheme="majorBidi" w:cstheme="majorBidi"/>
          <w:sz w:val="30"/>
          <w:szCs w:val="30"/>
          <w:lang w:val="en-US"/>
        </w:rPr>
        <w:fldChar w:fldCharType="end"/>
      </w:r>
      <w:r>
        <w:rPr>
          <w:rFonts w:hint="eastAsia" w:asciiTheme="majorBidi" w:hAnsiTheme="majorBidi" w:cstheme="majorBidi"/>
          <w:sz w:val="30"/>
          <w:szCs w:val="30"/>
          <w:lang w:val="en-US"/>
        </w:rPr>
        <w:t>1</w:t>
      </w:r>
    </w:p>
    <w:p>
      <w:pPr>
        <w:pStyle w:val="13"/>
        <w:rPr>
          <w:rFonts w:asciiTheme="majorBidi" w:hAnsiTheme="majorBidi" w:cstheme="majorBidi"/>
          <w:kern w:val="2"/>
          <w:sz w:val="30"/>
          <w:szCs w:val="30"/>
          <w:lang w:val="en-US"/>
        </w:rPr>
      </w:pPr>
      <w:r>
        <w:fldChar w:fldCharType="begin"/>
      </w:r>
      <w:r>
        <w:instrText xml:space="preserve"> HYPERLINK \l "_Toc38903775" </w:instrText>
      </w:r>
      <w:r>
        <w:fldChar w:fldCharType="separate"/>
      </w:r>
      <w:r>
        <w:rPr>
          <w:rStyle w:val="26"/>
          <w:rFonts w:asciiTheme="majorBidi" w:hAnsiTheme="majorBidi" w:cstheme="majorBidi"/>
          <w:sz w:val="30"/>
          <w:szCs w:val="30"/>
        </w:rPr>
        <w:t>Abstract</w:t>
      </w:r>
      <w:r>
        <w:rPr>
          <w:rFonts w:asciiTheme="majorBidi" w:hAnsiTheme="majorBidi" w:cstheme="majorBidi"/>
          <w:sz w:val="30"/>
          <w:szCs w:val="30"/>
        </w:rPr>
        <w:tab/>
      </w:r>
      <w:r>
        <w:rPr>
          <w:rFonts w:hint="eastAsia" w:asciiTheme="majorBidi" w:hAnsiTheme="majorBidi" w:cstheme="majorBidi"/>
          <w:sz w:val="30"/>
          <w:szCs w:val="30"/>
          <w:lang w:val="en-US"/>
        </w:rPr>
        <w:t>0</w:t>
      </w:r>
      <w:r>
        <w:rPr>
          <w:rFonts w:hint="eastAsia" w:asciiTheme="majorBidi" w:hAnsiTheme="majorBidi" w:cstheme="majorBidi"/>
          <w:sz w:val="30"/>
          <w:szCs w:val="30"/>
          <w:lang w:val="en-US"/>
        </w:rPr>
        <w:fldChar w:fldCharType="end"/>
      </w:r>
      <w:r>
        <w:rPr>
          <w:rFonts w:hint="eastAsia" w:asciiTheme="majorBidi" w:hAnsiTheme="majorBidi" w:cstheme="majorBidi"/>
          <w:sz w:val="30"/>
          <w:szCs w:val="30"/>
          <w:lang w:val="en-US"/>
        </w:rPr>
        <w:t>2</w:t>
      </w:r>
    </w:p>
    <w:p>
      <w:pPr>
        <w:pStyle w:val="13"/>
        <w:rPr>
          <w:rFonts w:asciiTheme="majorBidi" w:hAnsiTheme="majorBidi" w:cstheme="majorBidi"/>
          <w:kern w:val="2"/>
          <w:sz w:val="30"/>
          <w:szCs w:val="30"/>
        </w:rPr>
      </w:pPr>
      <w:r>
        <w:fldChar w:fldCharType="begin"/>
      </w:r>
      <w:r>
        <w:instrText xml:space="preserve"> HYPERLINK \l "_Toc38903776" </w:instrText>
      </w:r>
      <w:r>
        <w:fldChar w:fldCharType="separate"/>
      </w:r>
      <w:r>
        <w:rPr>
          <w:rStyle w:val="26"/>
          <w:rFonts w:asciiTheme="majorBidi" w:hAnsiTheme="majorBidi" w:cstheme="majorBidi"/>
          <w:sz w:val="30"/>
          <w:szCs w:val="30"/>
        </w:rPr>
        <w:t>引  言</w:t>
      </w:r>
      <w:r>
        <w:rPr>
          <w:rFonts w:asciiTheme="majorBidi" w:hAnsiTheme="majorBidi" w:cstheme="majorBidi"/>
          <w:sz w:val="30"/>
          <w:szCs w:val="30"/>
        </w:rPr>
        <w:tab/>
      </w:r>
      <w:r>
        <w:rPr>
          <w:rFonts w:hint="eastAsia" w:asciiTheme="majorBidi" w:hAnsiTheme="majorBidi" w:cstheme="majorBidi"/>
          <w:sz w:val="30"/>
          <w:szCs w:val="30"/>
          <w:lang w:val="en-US"/>
        </w:rPr>
        <w:t>1</w:t>
      </w:r>
      <w:r>
        <w:rPr>
          <w:rFonts w:hint="eastAsia" w:asciiTheme="majorBidi" w:hAnsiTheme="majorBidi" w:cstheme="majorBidi"/>
          <w:sz w:val="30"/>
          <w:szCs w:val="30"/>
          <w:lang w:val="en-US"/>
        </w:rPr>
        <w:fldChar w:fldCharType="end"/>
      </w:r>
    </w:p>
    <w:p>
      <w:pPr>
        <w:pStyle w:val="13"/>
        <w:rPr>
          <w:rFonts w:asciiTheme="majorBidi" w:hAnsiTheme="majorBidi" w:cstheme="majorBidi"/>
          <w:kern w:val="2"/>
          <w:sz w:val="30"/>
          <w:szCs w:val="30"/>
        </w:rPr>
      </w:pPr>
      <w:r>
        <w:fldChar w:fldCharType="begin"/>
      </w:r>
      <w:r>
        <w:instrText xml:space="preserve"> HYPERLINK \l "_Toc38903777" </w:instrText>
      </w:r>
      <w:r>
        <w:fldChar w:fldCharType="separate"/>
      </w:r>
      <w:r>
        <w:rPr>
          <w:rStyle w:val="26"/>
          <w:rFonts w:asciiTheme="majorBidi" w:hAnsiTheme="majorBidi" w:cstheme="majorBidi"/>
          <w:sz w:val="30"/>
          <w:szCs w:val="30"/>
        </w:rPr>
        <w:t>一、斯宾诺莎的“三”与“一”</w:t>
      </w:r>
      <w:r>
        <w:rPr>
          <w:rFonts w:asciiTheme="majorBidi" w:hAnsiTheme="majorBidi" w:cstheme="majorBidi"/>
          <w:sz w:val="30"/>
          <w:szCs w:val="30"/>
        </w:rPr>
        <w:tab/>
      </w:r>
      <w:r>
        <w:rPr>
          <w:rFonts w:hint="eastAsia" w:asciiTheme="majorBidi" w:hAnsiTheme="majorBidi" w:cstheme="majorBidi"/>
          <w:sz w:val="30"/>
          <w:szCs w:val="30"/>
          <w:lang w:val="en-US"/>
        </w:rPr>
        <w:t>3</w:t>
      </w:r>
      <w:r>
        <w:rPr>
          <w:rFonts w:hint="eastAsia" w:asciiTheme="majorBidi" w:hAnsiTheme="majorBidi" w:cstheme="majorBidi"/>
          <w:sz w:val="30"/>
          <w:szCs w:val="30"/>
          <w:lang w:val="en-US"/>
        </w:rPr>
        <w:fldChar w:fldCharType="end"/>
      </w:r>
    </w:p>
    <w:p>
      <w:pPr>
        <w:pStyle w:val="17"/>
        <w:spacing w:line="500" w:lineRule="exact"/>
        <w:rPr>
          <w:rFonts w:asciiTheme="majorBidi" w:hAnsiTheme="majorBidi" w:cstheme="majorBidi"/>
          <w:kern w:val="2"/>
          <w:sz w:val="28"/>
          <w:szCs w:val="28"/>
        </w:rPr>
      </w:pPr>
      <w:r>
        <w:fldChar w:fldCharType="begin"/>
      </w:r>
      <w:r>
        <w:instrText xml:space="preserve"> HYPERLINK \l "_Toc38903778" </w:instrText>
      </w:r>
      <w:r>
        <w:fldChar w:fldCharType="separate"/>
      </w:r>
      <w:r>
        <w:rPr>
          <w:rStyle w:val="26"/>
          <w:rFonts w:asciiTheme="majorBidi" w:hAnsiTheme="majorBidi" w:cstheme="majorBidi"/>
          <w:sz w:val="28"/>
          <w:szCs w:val="28"/>
        </w:rPr>
        <w:t>(一)“三”之逻辑</w:t>
      </w:r>
      <w:r>
        <w:rPr>
          <w:rFonts w:asciiTheme="majorBidi" w:hAnsiTheme="majorBidi" w:cstheme="majorBidi"/>
          <w:sz w:val="28"/>
          <w:szCs w:val="28"/>
        </w:rPr>
        <w:tab/>
      </w:r>
      <w:r>
        <w:rPr>
          <w:rFonts w:hint="eastAsia" w:asciiTheme="majorBidi" w:hAnsiTheme="majorBidi" w:cstheme="majorBidi"/>
          <w:sz w:val="28"/>
          <w:szCs w:val="28"/>
          <w:lang w:val="en-US"/>
        </w:rPr>
        <w:t>3</w:t>
      </w:r>
      <w:r>
        <w:rPr>
          <w:rFonts w:hint="eastAsia" w:asciiTheme="majorBidi" w:hAnsiTheme="majorBidi" w:cstheme="majorBidi"/>
          <w:sz w:val="28"/>
          <w:szCs w:val="28"/>
          <w:lang w:val="en-US"/>
        </w:rPr>
        <w:fldChar w:fldCharType="end"/>
      </w:r>
    </w:p>
    <w:p>
      <w:pPr>
        <w:pStyle w:val="17"/>
        <w:spacing w:line="500" w:lineRule="exact"/>
        <w:rPr>
          <w:rFonts w:asciiTheme="majorBidi" w:hAnsiTheme="majorBidi" w:cstheme="majorBidi"/>
          <w:kern w:val="2"/>
          <w:sz w:val="28"/>
          <w:szCs w:val="28"/>
        </w:rPr>
      </w:pPr>
      <w:r>
        <w:fldChar w:fldCharType="begin"/>
      </w:r>
      <w:r>
        <w:instrText xml:space="preserve"> HYPERLINK \l "_Toc38903779" </w:instrText>
      </w:r>
      <w:r>
        <w:fldChar w:fldCharType="separate"/>
      </w:r>
      <w:r>
        <w:rPr>
          <w:rStyle w:val="26"/>
          <w:rFonts w:asciiTheme="majorBidi" w:hAnsiTheme="majorBidi" w:cstheme="majorBidi"/>
          <w:sz w:val="28"/>
          <w:szCs w:val="28"/>
        </w:rPr>
        <w:t>(二)“一”之逻辑</w:t>
      </w:r>
      <w:r>
        <w:rPr>
          <w:rFonts w:asciiTheme="majorBidi" w:hAnsiTheme="majorBidi" w:cstheme="majorBidi"/>
          <w:sz w:val="28"/>
          <w:szCs w:val="28"/>
        </w:rPr>
        <w:tab/>
      </w:r>
      <w:r>
        <w:rPr>
          <w:rFonts w:hint="eastAsia" w:asciiTheme="majorBidi" w:hAnsiTheme="majorBidi" w:cstheme="majorBidi"/>
          <w:sz w:val="28"/>
          <w:szCs w:val="28"/>
          <w:lang w:val="en-US"/>
        </w:rPr>
        <w:t>5</w:t>
      </w:r>
      <w:r>
        <w:rPr>
          <w:rFonts w:hint="eastAsia" w:asciiTheme="majorBidi" w:hAnsiTheme="majorBidi" w:cstheme="majorBidi"/>
          <w:sz w:val="28"/>
          <w:szCs w:val="28"/>
          <w:lang w:val="en-US"/>
        </w:rPr>
        <w:fldChar w:fldCharType="end"/>
      </w:r>
    </w:p>
    <w:p>
      <w:pPr>
        <w:pStyle w:val="13"/>
        <w:rPr>
          <w:rFonts w:asciiTheme="majorBidi" w:hAnsiTheme="majorBidi" w:cstheme="majorBidi"/>
          <w:kern w:val="2"/>
          <w:sz w:val="30"/>
          <w:szCs w:val="30"/>
        </w:rPr>
      </w:pPr>
      <w:r>
        <w:fldChar w:fldCharType="begin"/>
      </w:r>
      <w:r>
        <w:instrText xml:space="preserve"> HYPERLINK \l "_Toc38903780" </w:instrText>
      </w:r>
      <w:r>
        <w:fldChar w:fldCharType="separate"/>
      </w:r>
      <w:r>
        <w:rPr>
          <w:rStyle w:val="26"/>
          <w:rFonts w:asciiTheme="majorBidi" w:hAnsiTheme="majorBidi" w:cstheme="majorBidi"/>
          <w:sz w:val="30"/>
          <w:szCs w:val="30"/>
        </w:rPr>
        <w:t>二、作为本质的力量</w:t>
      </w:r>
      <w:r>
        <w:rPr>
          <w:rFonts w:asciiTheme="majorBidi" w:hAnsiTheme="majorBidi" w:cstheme="majorBidi"/>
          <w:sz w:val="30"/>
          <w:szCs w:val="30"/>
        </w:rPr>
        <w:tab/>
      </w:r>
      <w:r>
        <w:rPr>
          <w:rFonts w:hint="eastAsia" w:asciiTheme="majorBidi" w:hAnsiTheme="majorBidi" w:cstheme="majorBidi"/>
          <w:sz w:val="30"/>
          <w:szCs w:val="30"/>
          <w:lang w:val="en-US"/>
        </w:rPr>
        <w:t>7</w:t>
      </w:r>
      <w:r>
        <w:rPr>
          <w:rFonts w:hint="eastAsia" w:asciiTheme="majorBidi" w:hAnsiTheme="majorBidi" w:cstheme="majorBidi"/>
          <w:sz w:val="30"/>
          <w:szCs w:val="30"/>
          <w:lang w:val="en-US"/>
        </w:rPr>
        <w:fldChar w:fldCharType="end"/>
      </w:r>
    </w:p>
    <w:p>
      <w:pPr>
        <w:pStyle w:val="17"/>
        <w:spacing w:line="500" w:lineRule="exact"/>
        <w:rPr>
          <w:rFonts w:asciiTheme="majorBidi" w:hAnsiTheme="majorBidi" w:cstheme="majorBidi"/>
          <w:kern w:val="2"/>
          <w:sz w:val="28"/>
          <w:szCs w:val="28"/>
        </w:rPr>
      </w:pPr>
      <w:r>
        <w:fldChar w:fldCharType="begin"/>
      </w:r>
      <w:r>
        <w:instrText xml:space="preserve"> HYPERLINK \l "_Toc38903781" </w:instrText>
      </w:r>
      <w:r>
        <w:fldChar w:fldCharType="separate"/>
      </w:r>
      <w:r>
        <w:rPr>
          <w:rStyle w:val="26"/>
          <w:rFonts w:asciiTheme="majorBidi" w:hAnsiTheme="majorBidi" w:cstheme="majorBidi"/>
          <w:sz w:val="28"/>
          <w:szCs w:val="28"/>
        </w:rPr>
        <w:t>(一)本质作为“预设”</w:t>
      </w:r>
      <w:r>
        <w:rPr>
          <w:rFonts w:asciiTheme="majorBidi" w:hAnsiTheme="majorBidi" w:cstheme="majorBidi"/>
          <w:sz w:val="28"/>
          <w:szCs w:val="28"/>
        </w:rPr>
        <w:tab/>
      </w:r>
      <w:r>
        <w:rPr>
          <w:rFonts w:hint="eastAsia" w:asciiTheme="majorBidi" w:hAnsiTheme="majorBidi" w:cstheme="majorBidi"/>
          <w:sz w:val="28"/>
          <w:szCs w:val="28"/>
          <w:lang w:val="en-US"/>
        </w:rPr>
        <w:t>7</w:t>
      </w:r>
      <w:r>
        <w:rPr>
          <w:rFonts w:hint="eastAsia" w:asciiTheme="majorBidi" w:hAnsiTheme="majorBidi" w:cstheme="majorBidi"/>
          <w:sz w:val="28"/>
          <w:szCs w:val="28"/>
          <w:lang w:val="en-US"/>
        </w:rPr>
        <w:fldChar w:fldCharType="end"/>
      </w:r>
    </w:p>
    <w:p>
      <w:pPr>
        <w:pStyle w:val="17"/>
        <w:spacing w:line="500" w:lineRule="exact"/>
        <w:rPr>
          <w:rFonts w:asciiTheme="majorBidi" w:hAnsiTheme="majorBidi" w:cstheme="majorBidi"/>
          <w:kern w:val="2"/>
          <w:sz w:val="28"/>
          <w:szCs w:val="28"/>
        </w:rPr>
      </w:pPr>
      <w:r>
        <w:fldChar w:fldCharType="begin"/>
      </w:r>
      <w:r>
        <w:instrText xml:space="preserve"> HYPERLINK \l "_Toc38903782" </w:instrText>
      </w:r>
      <w:r>
        <w:fldChar w:fldCharType="separate"/>
      </w:r>
      <w:r>
        <w:rPr>
          <w:rStyle w:val="26"/>
          <w:rFonts w:asciiTheme="majorBidi" w:hAnsiTheme="majorBidi" w:cstheme="majorBidi"/>
          <w:sz w:val="28"/>
          <w:szCs w:val="28"/>
        </w:rPr>
        <w:t>(二)本质作为“前—力量”？</w:t>
      </w:r>
      <w:r>
        <w:rPr>
          <w:rFonts w:asciiTheme="majorBidi" w:hAnsiTheme="majorBidi" w:cstheme="majorBidi"/>
          <w:sz w:val="28"/>
          <w:szCs w:val="28"/>
        </w:rPr>
        <w:tab/>
      </w:r>
      <w:r>
        <w:rPr>
          <w:rFonts w:hint="eastAsia" w:asciiTheme="majorBidi" w:hAnsiTheme="majorBidi" w:cstheme="majorBidi"/>
          <w:sz w:val="28"/>
          <w:szCs w:val="28"/>
          <w:lang w:val="en-US"/>
        </w:rPr>
        <w:t>9</w:t>
      </w:r>
      <w:r>
        <w:rPr>
          <w:rFonts w:hint="eastAsia" w:asciiTheme="majorBidi" w:hAnsiTheme="majorBidi" w:cstheme="majorBidi"/>
          <w:sz w:val="28"/>
          <w:szCs w:val="28"/>
          <w:lang w:val="en-US"/>
        </w:rPr>
        <w:fldChar w:fldCharType="end"/>
      </w:r>
    </w:p>
    <w:p>
      <w:pPr>
        <w:pStyle w:val="13"/>
        <w:rPr>
          <w:rFonts w:asciiTheme="majorBidi" w:hAnsiTheme="majorBidi" w:cstheme="majorBidi"/>
          <w:kern w:val="2"/>
          <w:sz w:val="30"/>
          <w:szCs w:val="30"/>
          <w:lang w:val="en-US"/>
        </w:rPr>
      </w:pPr>
      <w:r>
        <w:fldChar w:fldCharType="begin"/>
      </w:r>
      <w:r>
        <w:instrText xml:space="preserve"> HYPERLINK \l "_Toc38903783" </w:instrText>
      </w:r>
      <w:r>
        <w:fldChar w:fldCharType="separate"/>
      </w:r>
      <w:r>
        <w:rPr>
          <w:rStyle w:val="26"/>
          <w:rFonts w:asciiTheme="majorBidi" w:hAnsiTheme="majorBidi" w:cstheme="majorBidi"/>
          <w:sz w:val="30"/>
          <w:szCs w:val="30"/>
        </w:rPr>
        <w:t>三、作为存在的力量</w:t>
      </w:r>
      <w:r>
        <w:rPr>
          <w:rFonts w:asciiTheme="majorBidi" w:hAnsiTheme="majorBidi" w:cstheme="majorBidi"/>
          <w:sz w:val="30"/>
          <w:szCs w:val="30"/>
        </w:rPr>
        <w:tab/>
      </w:r>
      <w:r>
        <w:rPr>
          <w:rFonts w:hint="eastAsia" w:asciiTheme="majorBidi" w:hAnsiTheme="majorBidi" w:cstheme="majorBidi"/>
          <w:sz w:val="30"/>
          <w:szCs w:val="30"/>
          <w:lang w:val="en-US"/>
        </w:rPr>
        <w:t>1</w:t>
      </w:r>
      <w:r>
        <w:rPr>
          <w:rFonts w:hint="eastAsia" w:asciiTheme="majorBidi" w:hAnsiTheme="majorBidi" w:cstheme="majorBidi"/>
          <w:sz w:val="30"/>
          <w:szCs w:val="30"/>
          <w:lang w:val="en-US"/>
        </w:rPr>
        <w:fldChar w:fldCharType="end"/>
      </w:r>
      <w:r>
        <w:rPr>
          <w:rFonts w:hint="eastAsia" w:asciiTheme="majorBidi" w:hAnsiTheme="majorBidi" w:cstheme="majorBidi"/>
          <w:sz w:val="30"/>
          <w:szCs w:val="30"/>
          <w:lang w:val="en-US"/>
        </w:rPr>
        <w:t>3</w:t>
      </w:r>
    </w:p>
    <w:p>
      <w:pPr>
        <w:pStyle w:val="17"/>
        <w:spacing w:line="500" w:lineRule="exact"/>
        <w:rPr>
          <w:rFonts w:asciiTheme="majorBidi" w:hAnsiTheme="majorBidi" w:cstheme="majorBidi"/>
          <w:kern w:val="2"/>
          <w:sz w:val="28"/>
          <w:szCs w:val="28"/>
          <w:lang w:val="en-US"/>
        </w:rPr>
      </w:pPr>
      <w:r>
        <w:fldChar w:fldCharType="begin"/>
      </w:r>
      <w:r>
        <w:instrText xml:space="preserve"> HYPERLINK \l "_Toc38903784" </w:instrText>
      </w:r>
      <w:r>
        <w:fldChar w:fldCharType="separate"/>
      </w:r>
      <w:r>
        <w:rPr>
          <w:rStyle w:val="26"/>
          <w:rFonts w:asciiTheme="majorBidi" w:hAnsiTheme="majorBidi" w:cstheme="majorBidi"/>
          <w:sz w:val="28"/>
          <w:szCs w:val="28"/>
        </w:rPr>
        <w:t>(一)“前—斯宾诺莎”的存在论证明</w:t>
      </w:r>
      <w:r>
        <w:rPr>
          <w:rFonts w:asciiTheme="majorBidi" w:hAnsiTheme="majorBidi" w:cstheme="majorBidi"/>
          <w:sz w:val="28"/>
          <w:szCs w:val="28"/>
        </w:rPr>
        <w:tab/>
      </w:r>
      <w:r>
        <w:rPr>
          <w:rFonts w:hint="eastAsia" w:asciiTheme="majorBidi" w:hAnsiTheme="majorBidi" w:cstheme="majorBidi"/>
          <w:sz w:val="28"/>
          <w:szCs w:val="28"/>
          <w:lang w:val="en-US"/>
        </w:rPr>
        <w:t>1</w:t>
      </w:r>
      <w:r>
        <w:rPr>
          <w:rFonts w:hint="eastAsia" w:asciiTheme="majorBidi" w:hAnsiTheme="majorBidi" w:cstheme="majorBidi"/>
          <w:sz w:val="28"/>
          <w:szCs w:val="28"/>
          <w:lang w:val="en-US"/>
        </w:rPr>
        <w:fldChar w:fldCharType="end"/>
      </w:r>
      <w:r>
        <w:rPr>
          <w:rFonts w:hint="eastAsia" w:asciiTheme="majorBidi" w:hAnsiTheme="majorBidi" w:cstheme="majorBidi"/>
          <w:sz w:val="28"/>
          <w:szCs w:val="28"/>
          <w:lang w:val="en-US"/>
        </w:rPr>
        <w:t>3</w:t>
      </w:r>
    </w:p>
    <w:p>
      <w:pPr>
        <w:pStyle w:val="17"/>
        <w:spacing w:line="500" w:lineRule="exact"/>
        <w:rPr>
          <w:rFonts w:asciiTheme="majorBidi" w:hAnsiTheme="majorBidi" w:cstheme="majorBidi"/>
          <w:kern w:val="2"/>
          <w:sz w:val="28"/>
          <w:szCs w:val="28"/>
          <w:lang w:val="en-US"/>
        </w:rPr>
      </w:pPr>
      <w:r>
        <w:fldChar w:fldCharType="begin"/>
      </w:r>
      <w:r>
        <w:instrText xml:space="preserve"> HYPERLINK \l "_Toc38903785" </w:instrText>
      </w:r>
      <w:r>
        <w:fldChar w:fldCharType="separate"/>
      </w:r>
      <w:r>
        <w:rPr>
          <w:rStyle w:val="26"/>
          <w:rFonts w:asciiTheme="majorBidi" w:hAnsiTheme="majorBidi" w:cstheme="majorBidi"/>
          <w:sz w:val="28"/>
          <w:szCs w:val="28"/>
        </w:rPr>
        <w:t>(二)力量版本的存在论证明</w:t>
      </w:r>
      <w:r>
        <w:rPr>
          <w:rFonts w:asciiTheme="majorBidi" w:hAnsiTheme="majorBidi" w:cstheme="majorBidi"/>
          <w:sz w:val="28"/>
          <w:szCs w:val="28"/>
        </w:rPr>
        <w:tab/>
      </w:r>
      <w:r>
        <w:rPr>
          <w:rFonts w:hint="eastAsia" w:asciiTheme="majorBidi" w:hAnsiTheme="majorBidi" w:cstheme="majorBidi"/>
          <w:sz w:val="28"/>
          <w:szCs w:val="28"/>
          <w:lang w:val="en-US"/>
        </w:rPr>
        <w:t>1</w:t>
      </w:r>
      <w:r>
        <w:rPr>
          <w:rFonts w:hint="eastAsia" w:asciiTheme="majorBidi" w:hAnsiTheme="majorBidi" w:cstheme="majorBidi"/>
          <w:sz w:val="28"/>
          <w:szCs w:val="28"/>
          <w:lang w:val="en-US"/>
        </w:rPr>
        <w:fldChar w:fldCharType="end"/>
      </w:r>
      <w:r>
        <w:rPr>
          <w:rFonts w:hint="eastAsia" w:asciiTheme="majorBidi" w:hAnsiTheme="majorBidi" w:cstheme="majorBidi"/>
          <w:sz w:val="28"/>
          <w:szCs w:val="28"/>
          <w:lang w:val="en-US"/>
        </w:rPr>
        <w:t>6</w:t>
      </w:r>
    </w:p>
    <w:p>
      <w:pPr>
        <w:pStyle w:val="17"/>
        <w:spacing w:line="500" w:lineRule="exact"/>
        <w:rPr>
          <w:rFonts w:asciiTheme="majorBidi" w:hAnsiTheme="majorBidi" w:cstheme="majorBidi"/>
          <w:kern w:val="2"/>
          <w:sz w:val="28"/>
          <w:szCs w:val="28"/>
          <w:lang w:val="en-US"/>
        </w:rPr>
      </w:pPr>
      <w:r>
        <w:fldChar w:fldCharType="begin"/>
      </w:r>
      <w:r>
        <w:instrText xml:space="preserve"> HYPERLINK \l "_Toc38903786" </w:instrText>
      </w:r>
      <w:r>
        <w:fldChar w:fldCharType="separate"/>
      </w:r>
      <w:r>
        <w:rPr>
          <w:rStyle w:val="26"/>
          <w:rFonts w:asciiTheme="majorBidi" w:hAnsiTheme="majorBidi" w:cstheme="majorBidi"/>
          <w:sz w:val="28"/>
          <w:szCs w:val="28"/>
        </w:rPr>
        <w:t>(三)存在的量度——实在性</w:t>
      </w:r>
      <w:r>
        <w:rPr>
          <w:rFonts w:asciiTheme="majorBidi" w:hAnsiTheme="majorBidi" w:cstheme="majorBidi"/>
          <w:sz w:val="28"/>
          <w:szCs w:val="28"/>
        </w:rPr>
        <w:tab/>
      </w:r>
      <w:r>
        <w:rPr>
          <w:rFonts w:hint="eastAsia" w:asciiTheme="majorBidi" w:hAnsiTheme="majorBidi" w:cstheme="majorBidi"/>
          <w:sz w:val="28"/>
          <w:szCs w:val="28"/>
          <w:lang w:val="en-US"/>
        </w:rPr>
        <w:t>1</w:t>
      </w:r>
      <w:r>
        <w:rPr>
          <w:rFonts w:hint="eastAsia" w:asciiTheme="majorBidi" w:hAnsiTheme="majorBidi" w:cstheme="majorBidi"/>
          <w:sz w:val="28"/>
          <w:szCs w:val="28"/>
          <w:lang w:val="en-US"/>
        </w:rPr>
        <w:fldChar w:fldCharType="end"/>
      </w:r>
      <w:r>
        <w:rPr>
          <w:rFonts w:hint="eastAsia" w:asciiTheme="majorBidi" w:hAnsiTheme="majorBidi" w:cstheme="majorBidi"/>
          <w:sz w:val="28"/>
          <w:szCs w:val="28"/>
          <w:lang w:val="en-US"/>
        </w:rPr>
        <w:t>9</w:t>
      </w:r>
    </w:p>
    <w:p>
      <w:pPr>
        <w:pStyle w:val="13"/>
        <w:rPr>
          <w:rFonts w:asciiTheme="majorBidi" w:hAnsiTheme="majorBidi" w:cstheme="majorBidi"/>
          <w:kern w:val="2"/>
          <w:sz w:val="30"/>
          <w:szCs w:val="30"/>
          <w:lang w:val="en-US"/>
        </w:rPr>
      </w:pPr>
      <w:r>
        <w:fldChar w:fldCharType="begin"/>
      </w:r>
      <w:r>
        <w:instrText xml:space="preserve"> HYPERLINK \l "_Toc38903787" </w:instrText>
      </w:r>
      <w:r>
        <w:fldChar w:fldCharType="separate"/>
      </w:r>
      <w:r>
        <w:rPr>
          <w:rStyle w:val="26"/>
          <w:rFonts w:asciiTheme="majorBidi" w:hAnsiTheme="majorBidi" w:cstheme="majorBidi"/>
          <w:sz w:val="30"/>
          <w:szCs w:val="30"/>
        </w:rPr>
        <w:t>四、</w:t>
      </w:r>
      <w:r>
        <w:rPr>
          <w:rStyle w:val="26"/>
          <w:rFonts w:asciiTheme="majorBidi" w:hAnsiTheme="majorBidi" w:cstheme="majorBidi"/>
          <w:sz w:val="30"/>
          <w:szCs w:val="30"/>
          <w:lang w:val="el-GR"/>
        </w:rPr>
        <w:t>作为理智的力量</w:t>
      </w:r>
      <w:r>
        <w:rPr>
          <w:rFonts w:asciiTheme="majorBidi" w:hAnsiTheme="majorBidi" w:cstheme="majorBidi"/>
          <w:sz w:val="30"/>
          <w:szCs w:val="30"/>
        </w:rPr>
        <w:tab/>
      </w:r>
      <w:r>
        <w:rPr>
          <w:rFonts w:hint="eastAsia" w:asciiTheme="majorBidi" w:hAnsiTheme="majorBidi" w:cstheme="majorBidi"/>
          <w:sz w:val="30"/>
          <w:szCs w:val="30"/>
          <w:lang w:val="en-US"/>
        </w:rPr>
        <w:t>2</w:t>
      </w:r>
      <w:r>
        <w:rPr>
          <w:rFonts w:hint="eastAsia" w:asciiTheme="majorBidi" w:hAnsiTheme="majorBidi" w:cstheme="majorBidi"/>
          <w:sz w:val="30"/>
          <w:szCs w:val="30"/>
          <w:lang w:val="en-US"/>
        </w:rPr>
        <w:fldChar w:fldCharType="end"/>
      </w:r>
      <w:r>
        <w:rPr>
          <w:rFonts w:hint="eastAsia" w:asciiTheme="majorBidi" w:hAnsiTheme="majorBidi" w:cstheme="majorBidi"/>
          <w:sz w:val="30"/>
          <w:szCs w:val="30"/>
          <w:lang w:val="en-US"/>
        </w:rPr>
        <w:t>2</w:t>
      </w:r>
    </w:p>
    <w:p>
      <w:pPr>
        <w:pStyle w:val="17"/>
        <w:spacing w:line="500" w:lineRule="exact"/>
        <w:rPr>
          <w:rFonts w:asciiTheme="majorBidi" w:hAnsiTheme="majorBidi" w:cstheme="majorBidi"/>
          <w:kern w:val="2"/>
          <w:sz w:val="28"/>
          <w:szCs w:val="28"/>
          <w:lang w:val="en-US"/>
        </w:rPr>
      </w:pPr>
      <w:r>
        <w:fldChar w:fldCharType="begin"/>
      </w:r>
      <w:r>
        <w:instrText xml:space="preserve"> HYPERLINK \l "_Toc38903788" </w:instrText>
      </w:r>
      <w:r>
        <w:fldChar w:fldCharType="separate"/>
      </w:r>
      <w:r>
        <w:rPr>
          <w:rStyle w:val="26"/>
          <w:rFonts w:asciiTheme="majorBidi" w:hAnsiTheme="majorBidi" w:cstheme="majorBidi"/>
          <w:sz w:val="28"/>
          <w:szCs w:val="28"/>
        </w:rPr>
        <w:t>(一)无限的理智与有限的理智</w:t>
      </w:r>
      <w:r>
        <w:rPr>
          <w:rFonts w:asciiTheme="majorBidi" w:hAnsiTheme="majorBidi" w:cstheme="majorBidi"/>
          <w:sz w:val="28"/>
          <w:szCs w:val="28"/>
        </w:rPr>
        <w:tab/>
      </w:r>
      <w:r>
        <w:rPr>
          <w:rFonts w:hint="eastAsia" w:asciiTheme="majorBidi" w:hAnsiTheme="majorBidi" w:cstheme="majorBidi"/>
          <w:sz w:val="28"/>
          <w:szCs w:val="28"/>
          <w:lang w:val="en-US"/>
        </w:rPr>
        <w:t>2</w:t>
      </w:r>
      <w:r>
        <w:rPr>
          <w:rFonts w:hint="eastAsia" w:asciiTheme="majorBidi" w:hAnsiTheme="majorBidi" w:cstheme="majorBidi"/>
          <w:sz w:val="28"/>
          <w:szCs w:val="28"/>
          <w:lang w:val="en-US"/>
        </w:rPr>
        <w:fldChar w:fldCharType="end"/>
      </w:r>
      <w:r>
        <w:rPr>
          <w:rFonts w:hint="eastAsia" w:asciiTheme="majorBidi" w:hAnsiTheme="majorBidi" w:cstheme="majorBidi"/>
          <w:sz w:val="28"/>
          <w:szCs w:val="28"/>
          <w:lang w:val="en-US"/>
        </w:rPr>
        <w:t>2</w:t>
      </w:r>
    </w:p>
    <w:p>
      <w:pPr>
        <w:pStyle w:val="17"/>
        <w:spacing w:line="500" w:lineRule="exact"/>
        <w:rPr>
          <w:rFonts w:asciiTheme="majorBidi" w:hAnsiTheme="majorBidi" w:cstheme="majorBidi"/>
          <w:kern w:val="2"/>
          <w:sz w:val="28"/>
          <w:szCs w:val="28"/>
          <w:lang w:val="en-US"/>
        </w:rPr>
      </w:pPr>
      <w:r>
        <w:fldChar w:fldCharType="begin"/>
      </w:r>
      <w:r>
        <w:instrText xml:space="preserve"> HYPERLINK \l "_Toc38903789" </w:instrText>
      </w:r>
      <w:r>
        <w:fldChar w:fldCharType="separate"/>
      </w:r>
      <w:r>
        <w:rPr>
          <w:rStyle w:val="26"/>
          <w:rFonts w:asciiTheme="majorBidi" w:hAnsiTheme="majorBidi" w:cstheme="majorBidi"/>
          <w:sz w:val="28"/>
          <w:szCs w:val="28"/>
        </w:rPr>
        <w:t>(二)理智中的三数律：一个知识原则</w:t>
      </w:r>
      <w:r>
        <w:rPr>
          <w:rFonts w:asciiTheme="majorBidi" w:hAnsiTheme="majorBidi" w:cstheme="majorBidi"/>
          <w:sz w:val="28"/>
          <w:szCs w:val="28"/>
        </w:rPr>
        <w:tab/>
      </w:r>
      <w:r>
        <w:rPr>
          <w:rFonts w:hint="eastAsia" w:asciiTheme="majorBidi" w:hAnsiTheme="majorBidi" w:cstheme="majorBidi"/>
          <w:sz w:val="28"/>
          <w:szCs w:val="28"/>
          <w:lang w:val="en-US"/>
        </w:rPr>
        <w:t>2</w:t>
      </w:r>
      <w:r>
        <w:rPr>
          <w:rFonts w:hint="eastAsia" w:asciiTheme="majorBidi" w:hAnsiTheme="majorBidi" w:cstheme="majorBidi"/>
          <w:sz w:val="28"/>
          <w:szCs w:val="28"/>
          <w:lang w:val="en-US"/>
        </w:rPr>
        <w:fldChar w:fldCharType="end"/>
      </w:r>
      <w:r>
        <w:rPr>
          <w:rFonts w:hint="eastAsia" w:asciiTheme="majorBidi" w:hAnsiTheme="majorBidi" w:cstheme="majorBidi"/>
          <w:sz w:val="28"/>
          <w:szCs w:val="28"/>
          <w:lang w:val="en-US"/>
        </w:rPr>
        <w:t>4</w:t>
      </w:r>
    </w:p>
    <w:p>
      <w:pPr>
        <w:pStyle w:val="17"/>
        <w:spacing w:line="500" w:lineRule="exact"/>
        <w:rPr>
          <w:rFonts w:asciiTheme="majorBidi" w:hAnsiTheme="majorBidi" w:cstheme="majorBidi"/>
          <w:kern w:val="2"/>
          <w:sz w:val="28"/>
          <w:szCs w:val="28"/>
          <w:lang w:val="en-US"/>
        </w:rPr>
      </w:pPr>
      <w:r>
        <w:fldChar w:fldCharType="begin"/>
      </w:r>
      <w:r>
        <w:instrText xml:space="preserve"> HYPERLINK \l "_Toc38903790" </w:instrText>
      </w:r>
      <w:r>
        <w:fldChar w:fldCharType="separate"/>
      </w:r>
      <w:r>
        <w:rPr>
          <w:rStyle w:val="26"/>
          <w:rFonts w:asciiTheme="majorBidi" w:hAnsiTheme="majorBidi" w:cstheme="majorBidi"/>
          <w:sz w:val="28"/>
          <w:szCs w:val="28"/>
        </w:rPr>
        <w:t>(三)反驳“拟人论”</w:t>
      </w:r>
      <w:r>
        <w:rPr>
          <w:rFonts w:asciiTheme="majorBidi" w:hAnsiTheme="majorBidi" w:cstheme="majorBidi"/>
          <w:sz w:val="28"/>
          <w:szCs w:val="28"/>
        </w:rPr>
        <w:tab/>
      </w:r>
      <w:r>
        <w:rPr>
          <w:rFonts w:hint="eastAsia" w:asciiTheme="majorBidi" w:hAnsiTheme="majorBidi" w:cstheme="majorBidi"/>
          <w:sz w:val="28"/>
          <w:szCs w:val="28"/>
          <w:lang w:val="en-US"/>
        </w:rPr>
        <w:t>2</w:t>
      </w:r>
      <w:r>
        <w:rPr>
          <w:rFonts w:hint="eastAsia" w:asciiTheme="majorBidi" w:hAnsiTheme="majorBidi" w:cstheme="majorBidi"/>
          <w:sz w:val="28"/>
          <w:szCs w:val="28"/>
          <w:lang w:val="en-US"/>
        </w:rPr>
        <w:fldChar w:fldCharType="end"/>
      </w:r>
      <w:r>
        <w:rPr>
          <w:rFonts w:hint="eastAsia" w:asciiTheme="majorBidi" w:hAnsiTheme="majorBidi" w:cstheme="majorBidi"/>
          <w:sz w:val="28"/>
          <w:szCs w:val="28"/>
          <w:lang w:val="en-US"/>
        </w:rPr>
        <w:t>4</w:t>
      </w:r>
    </w:p>
    <w:p>
      <w:pPr>
        <w:pStyle w:val="13"/>
        <w:rPr>
          <w:rFonts w:hint="eastAsia" w:eastAsia="宋体" w:asciiTheme="majorBidi" w:hAnsiTheme="majorBidi" w:cstheme="majorBidi"/>
          <w:kern w:val="2"/>
          <w:sz w:val="30"/>
          <w:szCs w:val="30"/>
          <w:lang w:val="en-US" w:eastAsia="zh-CN"/>
        </w:rPr>
      </w:pPr>
      <w:r>
        <w:fldChar w:fldCharType="begin"/>
      </w:r>
      <w:r>
        <w:instrText xml:space="preserve"> HYPERLINK \l "_Toc38903791" </w:instrText>
      </w:r>
      <w:r>
        <w:fldChar w:fldCharType="separate"/>
      </w:r>
      <w:r>
        <w:rPr>
          <w:rStyle w:val="26"/>
          <w:rFonts w:asciiTheme="majorBidi" w:hAnsiTheme="majorBidi" w:cstheme="majorBidi"/>
          <w:sz w:val="30"/>
          <w:szCs w:val="30"/>
        </w:rPr>
        <w:t>结  论</w:t>
      </w:r>
      <w:r>
        <w:rPr>
          <w:rFonts w:asciiTheme="majorBidi" w:hAnsiTheme="majorBidi" w:cstheme="majorBidi"/>
          <w:sz w:val="30"/>
          <w:szCs w:val="30"/>
        </w:rPr>
        <w:tab/>
      </w:r>
      <w:r>
        <w:rPr>
          <w:rFonts w:hint="eastAsia" w:asciiTheme="majorBidi" w:hAnsiTheme="majorBidi" w:cstheme="majorBidi"/>
          <w:sz w:val="30"/>
          <w:szCs w:val="30"/>
          <w:lang w:val="en-US"/>
        </w:rPr>
        <w:t>2</w:t>
      </w:r>
      <w:r>
        <w:rPr>
          <w:rFonts w:hint="eastAsia" w:asciiTheme="majorBidi" w:hAnsiTheme="majorBidi" w:cstheme="majorBidi"/>
          <w:sz w:val="30"/>
          <w:szCs w:val="30"/>
          <w:lang w:val="en-US"/>
        </w:rPr>
        <w:fldChar w:fldCharType="end"/>
      </w:r>
      <w:r>
        <w:rPr>
          <w:rFonts w:hint="eastAsia" w:asciiTheme="majorBidi" w:hAnsiTheme="majorBidi" w:cstheme="majorBidi"/>
          <w:sz w:val="30"/>
          <w:szCs w:val="30"/>
          <w:lang w:val="en-US" w:eastAsia="zh-CN"/>
        </w:rPr>
        <w:t>7</w:t>
      </w:r>
    </w:p>
    <w:p>
      <w:pPr>
        <w:pStyle w:val="13"/>
        <w:rPr>
          <w:rFonts w:hint="eastAsia" w:eastAsia="宋体" w:asciiTheme="majorBidi" w:hAnsiTheme="majorBidi" w:cstheme="majorBidi"/>
          <w:kern w:val="2"/>
          <w:sz w:val="30"/>
          <w:szCs w:val="30"/>
          <w:lang w:val="en-US" w:eastAsia="zh-CN"/>
        </w:rPr>
      </w:pPr>
      <w:r>
        <w:fldChar w:fldCharType="begin"/>
      </w:r>
      <w:r>
        <w:instrText xml:space="preserve"> HYPERLINK \l "_Toc38903792" </w:instrText>
      </w:r>
      <w:r>
        <w:fldChar w:fldCharType="separate"/>
      </w:r>
      <w:r>
        <w:rPr>
          <w:rStyle w:val="26"/>
          <w:rFonts w:asciiTheme="majorBidi" w:hAnsiTheme="majorBidi" w:cstheme="majorBidi"/>
          <w:sz w:val="30"/>
          <w:szCs w:val="30"/>
        </w:rPr>
        <w:t>参考文献</w:t>
      </w:r>
      <w:r>
        <w:rPr>
          <w:rFonts w:asciiTheme="majorBidi" w:hAnsiTheme="majorBidi" w:cstheme="majorBidi"/>
          <w:sz w:val="30"/>
          <w:szCs w:val="30"/>
        </w:rPr>
        <w:tab/>
      </w:r>
      <w:r>
        <w:rPr>
          <w:rFonts w:hint="eastAsia" w:asciiTheme="majorBidi" w:hAnsiTheme="majorBidi" w:cstheme="majorBidi"/>
          <w:sz w:val="30"/>
          <w:szCs w:val="30"/>
          <w:lang w:val="en-US"/>
        </w:rPr>
        <w:t>2</w:t>
      </w:r>
      <w:r>
        <w:rPr>
          <w:rFonts w:hint="eastAsia" w:asciiTheme="majorBidi" w:hAnsiTheme="majorBidi" w:cstheme="majorBidi"/>
          <w:sz w:val="30"/>
          <w:szCs w:val="30"/>
          <w:lang w:val="en-US"/>
        </w:rPr>
        <w:fldChar w:fldCharType="end"/>
      </w:r>
      <w:r>
        <w:rPr>
          <w:rFonts w:hint="eastAsia" w:asciiTheme="majorBidi" w:hAnsiTheme="majorBidi" w:cstheme="majorBidi"/>
          <w:sz w:val="30"/>
          <w:szCs w:val="30"/>
          <w:lang w:val="en-US" w:eastAsia="zh-CN"/>
        </w:rPr>
        <w:t>8</w:t>
      </w:r>
      <w:bookmarkStart w:id="41" w:name="_GoBack"/>
      <w:bookmarkEnd w:id="41"/>
    </w:p>
    <w:p>
      <w:pPr>
        <w:spacing w:line="500" w:lineRule="exact"/>
        <w:jc w:val="both"/>
        <w:rPr>
          <w:rFonts w:ascii="宋体" w:hAnsi="宋体" w:eastAsia="宋体"/>
        </w:rPr>
      </w:pPr>
      <w:r>
        <w:rPr>
          <w:rFonts w:ascii="宋体" w:hAnsi="宋体" w:eastAsia="宋体"/>
        </w:rPr>
        <w:fldChar w:fldCharType="end"/>
      </w:r>
    </w:p>
    <w:p>
      <w:pPr>
        <w:pStyle w:val="2"/>
        <w:spacing w:line="360" w:lineRule="auto"/>
        <w:rPr>
          <w:rFonts w:ascii="黑体" w:hAnsi="黑体" w:eastAsia="黑体" w:cs="黑体"/>
          <w:b w:val="0"/>
          <w:bCs w:val="0"/>
          <w:szCs w:val="30"/>
        </w:rPr>
        <w:sectPr>
          <w:headerReference r:id="rId11" w:type="first"/>
          <w:footerReference r:id="rId13" w:type="first"/>
          <w:footerReference r:id="rId12" w:type="default"/>
          <w:footnotePr>
            <w:numFmt w:val="decimalEnclosedCircleChinese"/>
            <w:numRestart w:val="eachPage"/>
          </w:footnotePr>
          <w:pgSz w:w="11900" w:h="16840"/>
          <w:pgMar w:top="1440" w:right="1797" w:bottom="1440" w:left="1797" w:header="850" w:footer="992" w:gutter="0"/>
          <w:pgNumType w:start="1"/>
          <w:cols w:space="425" w:num="1"/>
          <w:titlePg/>
          <w:docGrid w:type="lines" w:linePitch="326" w:charSpace="0"/>
        </w:sectPr>
      </w:pPr>
      <w:bookmarkStart w:id="4" w:name="_Toc38903776"/>
      <w:bookmarkStart w:id="5" w:name="_Toc38901532"/>
    </w:p>
    <w:p>
      <w:pPr>
        <w:pStyle w:val="2"/>
        <w:spacing w:line="360" w:lineRule="auto"/>
      </w:pPr>
      <w:r>
        <w:rPr>
          <w:rFonts w:hint="eastAsia" w:ascii="黑体" w:hAnsi="黑体" w:eastAsia="黑体" w:cs="黑体"/>
          <w:b w:val="0"/>
          <w:bCs w:val="0"/>
          <w:szCs w:val="30"/>
        </w:rPr>
        <w:t>引  言</w:t>
      </w:r>
      <w:bookmarkEnd w:id="4"/>
      <w:bookmarkEnd w:id="5"/>
    </w:p>
    <w:p>
      <w:pPr>
        <w:spacing w:line="360" w:lineRule="auto"/>
        <w:ind w:firstLine="480" w:firstLineChars="200"/>
        <w:jc w:val="both"/>
        <w:rPr>
          <w:rFonts w:eastAsia="宋体" w:asciiTheme="majorBidi" w:hAnsiTheme="majorBidi" w:cstheme="majorBidi"/>
          <w:szCs w:val="32"/>
        </w:rPr>
      </w:pPr>
      <w:r>
        <w:rPr>
          <w:rFonts w:hint="eastAsia" w:eastAsia="宋体" w:asciiTheme="majorBidi" w:hAnsiTheme="majorBidi" w:cstheme="majorBidi"/>
          <w:szCs w:val="32"/>
        </w:rPr>
        <w:t>“力量”概念被斯宾诺莎应用在其哲学的多个部分：在形而上学中，“力量”可以指称上帝的意志或上帝的思想力量；在物理学中，“力量”则指的是推动物体运动的广延层面的“力”；在其他许多具体领域中，“力量”又被冠以许多名称而加以使用，</w:t>
      </w:r>
      <w:r>
        <w:rPr>
          <w:rFonts w:hint="eastAsia" w:ascii="宋体" w:hAnsi="宋体" w:eastAsia="宋体"/>
          <w:szCs w:val="32"/>
        </w:rPr>
        <w:t>如思想力量（</w:t>
      </w:r>
      <w:r>
        <w:rPr>
          <w:rFonts w:eastAsia="宋体" w:asciiTheme="majorBidi" w:hAnsiTheme="majorBidi" w:cstheme="majorBidi"/>
          <w:szCs w:val="32"/>
        </w:rPr>
        <w:t>agendi potentia</w:t>
      </w:r>
      <w:r>
        <w:rPr>
          <w:rFonts w:hint="eastAsia" w:ascii="宋体" w:hAnsi="宋体" w:eastAsia="宋体"/>
          <w:szCs w:val="32"/>
        </w:rPr>
        <w:t>），行动力量（</w:t>
      </w:r>
      <w:r>
        <w:rPr>
          <w:rFonts w:eastAsia="宋体" w:asciiTheme="majorBidi" w:hAnsiTheme="majorBidi" w:cstheme="majorBidi"/>
          <w:szCs w:val="32"/>
        </w:rPr>
        <w:t>cogitandi potentia</w:t>
      </w:r>
      <w:r>
        <w:rPr>
          <w:rFonts w:hint="eastAsia" w:ascii="宋体" w:hAnsi="宋体" w:eastAsia="宋体"/>
          <w:szCs w:val="32"/>
        </w:rPr>
        <w:t>），生命力量（</w:t>
      </w:r>
      <w:r>
        <w:rPr>
          <w:rFonts w:eastAsia="宋体" w:asciiTheme="majorBidi" w:hAnsiTheme="majorBidi" w:cstheme="majorBidi"/>
          <w:szCs w:val="32"/>
        </w:rPr>
        <w:t>conatus</w:t>
      </w:r>
      <w:r>
        <w:rPr>
          <w:rFonts w:hint="eastAsia" w:ascii="宋体" w:hAnsi="宋体" w:eastAsia="宋体"/>
          <w:szCs w:val="32"/>
        </w:rPr>
        <w:t>）等等。</w:t>
      </w:r>
      <w:r>
        <w:rPr>
          <w:rFonts w:hint="eastAsia" w:eastAsia="宋体" w:asciiTheme="majorBidi" w:hAnsiTheme="majorBidi" w:cstheme="majorBidi"/>
          <w:szCs w:val="32"/>
        </w:rPr>
        <w:t>可以看到，“力量”超出单纯的神学或物理学领域而被斯宾诺莎广泛地应用于各种情境之中。</w:t>
      </w:r>
    </w:p>
    <w:p>
      <w:pPr>
        <w:spacing w:line="360" w:lineRule="auto"/>
        <w:ind w:firstLine="480" w:firstLineChars="200"/>
        <w:jc w:val="both"/>
        <w:rPr>
          <w:rFonts w:eastAsia="宋体" w:asciiTheme="majorBidi" w:hAnsiTheme="majorBidi" w:cstheme="majorBidi"/>
          <w:szCs w:val="32"/>
        </w:rPr>
      </w:pPr>
      <w:r>
        <w:rPr>
          <w:rFonts w:hint="eastAsia" w:eastAsia="宋体" w:asciiTheme="majorBidi" w:hAnsiTheme="majorBidi" w:cstheme="majorBidi"/>
          <w:szCs w:val="32"/>
        </w:rPr>
        <w:t>在不同文本中，斯宾诺莎用potentia或potestas来称呼“力量”这一概念。</w:t>
      </w:r>
      <w:r>
        <w:rPr>
          <w:rStyle w:val="28"/>
          <w:rFonts w:eastAsia="宋体" w:asciiTheme="majorBidi" w:hAnsiTheme="majorBidi" w:cstheme="majorBidi"/>
          <w:szCs w:val="32"/>
        </w:rPr>
        <w:footnoteReference w:id="0"/>
      </w:r>
      <w:r>
        <w:rPr>
          <w:rFonts w:hint="eastAsia" w:eastAsia="宋体" w:asciiTheme="majorBidi" w:hAnsiTheme="majorBidi" w:cstheme="majorBidi"/>
          <w:szCs w:val="32"/>
        </w:rPr>
        <w:t>在经院哲学那里，potentia被应用于所有与人相关的属性之中，成为一种现实的、主动的力量，而失去了亚里士多德那里与行动（act）相对的被动的“潜能”的含义。在斯宾诺莎那里，potentia的应用体现出非常明显的经院哲学色彩。对于斯宾诺莎而言，potentia始终代表“现实的”力量。真正的potentia属于且只属于无限完满的上帝，其他的“力量”则都是被创造的万物的本性中所蕴涵的维持其存在和活动的特殊力量。在使用的语境中，potentia更多地在斯宾诺莎的形而上学部分，尤其是《伦理学》一书中得到体现。这种应用在斯宾诺莎研究界的一个当代表达就是将斯宾诺莎的哲学称为一种“力量本体论”（ontology</w:t>
      </w:r>
      <w:r>
        <w:rPr>
          <w:rFonts w:eastAsia="宋体" w:asciiTheme="majorBidi" w:hAnsiTheme="majorBidi" w:cstheme="majorBidi"/>
          <w:szCs w:val="32"/>
        </w:rPr>
        <w:t xml:space="preserve"> </w:t>
      </w:r>
      <w:r>
        <w:rPr>
          <w:rFonts w:hint="eastAsia" w:eastAsia="宋体" w:asciiTheme="majorBidi" w:hAnsiTheme="majorBidi" w:cstheme="majorBidi"/>
          <w:szCs w:val="32"/>
        </w:rPr>
        <w:t>of</w:t>
      </w:r>
      <w:r>
        <w:rPr>
          <w:rFonts w:eastAsia="宋体" w:asciiTheme="majorBidi" w:hAnsiTheme="majorBidi" w:cstheme="majorBidi"/>
          <w:szCs w:val="32"/>
        </w:rPr>
        <w:t xml:space="preserve"> </w:t>
      </w:r>
      <w:r>
        <w:rPr>
          <w:rFonts w:hint="eastAsia" w:eastAsia="宋体" w:asciiTheme="majorBidi" w:hAnsiTheme="majorBidi" w:cstheme="majorBidi"/>
          <w:szCs w:val="32"/>
        </w:rPr>
        <w:t>power），即将“力量”这一概念看作斯宾诺莎哲学或至少斯宾诺莎形而上学的核心，以此出发，探讨斯宾诺莎的哲学体系。相较于potentia，potestas则更多接续了亚里士多德的“潜能——现实”传统，强调从潜能到现实的转换，以及一种因果关系的前后相继。在斯宾诺莎的著作中，potestas的使用范围则与斯宾诺莎的许多其他术语的使用范围相重叠，这些术语包括potentia（力量），vis（活力），virtus（德性）</w:t>
      </w:r>
      <w:r>
        <w:rPr>
          <w:rStyle w:val="28"/>
          <w:rFonts w:hint="eastAsia" w:eastAsia="宋体" w:asciiTheme="majorBidi" w:hAnsiTheme="majorBidi" w:cstheme="majorBidi"/>
          <w:szCs w:val="32"/>
        </w:rPr>
        <w:footnoteReference w:id="1"/>
      </w:r>
      <w:r>
        <w:rPr>
          <w:rFonts w:hint="eastAsia" w:eastAsia="宋体" w:asciiTheme="majorBidi" w:hAnsiTheme="majorBidi" w:cstheme="majorBidi"/>
          <w:szCs w:val="32"/>
        </w:rPr>
        <w:t>，facultas（能力）等等。值得注意的是，potestas在翻译上直接来自于希腊文中的dunamis或eksousia，前者就是亚里士多德那里的“潜能”，后者则表示一种积极的力量。此外，potestas还从基督教语境中获得了一种“最高权威”的现实含义，这种应用可以在霍布斯的《论公民》中看到相关表述。同样地，在斯宾诺莎那里，potestas也更多体现在他的政治哲学著作——《神学政治论》当中。但是，potentia与potestas的使用在斯宾诺莎那里并不存在一种严格的区分，两者在著作中的用法和含义存在多处重叠。而斯宾诺莎本人从来没有对两种“力量”的定义做出明确表述也可佐证前句的判断。因此，potentia与potestas之间的区别只能用“倾向性”而非“界说”来规定。基于这一共识，本文将搁置对于两个词汇的辨析，而从一种功能主义视角出发，对斯宾诺莎的“力量”概念进行重新梳理。在本文中，“力量”始终具有现实性与主动性，它体现在无限的上帝那里，也体现在有限的个体那里。尽管在不同语境中，“力量”会变幻出多种形态，但就其本质而言，都可统合为具有现实性的“力量”本身。</w:t>
      </w:r>
    </w:p>
    <w:p>
      <w:pPr>
        <w:spacing w:line="360" w:lineRule="auto"/>
        <w:ind w:firstLine="480" w:firstLineChars="200"/>
        <w:jc w:val="both"/>
        <w:rPr>
          <w:rFonts w:ascii="宋体" w:hAnsi="宋体" w:eastAsia="宋体"/>
          <w:szCs w:val="32"/>
        </w:rPr>
      </w:pPr>
      <w:r>
        <w:rPr>
          <w:rFonts w:hint="eastAsia" w:ascii="宋体" w:hAnsi="宋体" w:eastAsia="宋体"/>
          <w:szCs w:val="32"/>
        </w:rPr>
        <w:t>“力量”一词所带有的“主动”色彩表明，斯宾诺莎之后的德国观念论对斯宾诺莎哲学的理解具有极大的局限性。他们（尤其是黑格尔）简单地将斯宾诺莎哲学定义为以实体概念为核心的静止的逻辑体系，因而忽略了斯宾诺莎哲学中的现实的“力量”元素。</w:t>
      </w:r>
      <w:r>
        <w:rPr>
          <w:rStyle w:val="28"/>
          <w:rFonts w:ascii="宋体" w:hAnsi="宋体" w:eastAsia="宋体"/>
          <w:szCs w:val="32"/>
        </w:rPr>
        <w:footnoteReference w:id="2"/>
      </w:r>
      <w:r>
        <w:rPr>
          <w:rFonts w:hint="eastAsia" w:ascii="宋体" w:hAnsi="宋体" w:eastAsia="宋体"/>
          <w:szCs w:val="32"/>
        </w:rPr>
        <w:t>本文则试图通过分析指出，斯宾诺莎哲学是一种以力量为核心的哲学，“力量”才是斯宾诺莎哲学的底色。</w:t>
      </w:r>
      <w:r>
        <w:rPr>
          <w:rFonts w:ascii="宋体" w:hAnsi="宋体" w:eastAsia="宋体"/>
          <w:szCs w:val="32"/>
        </w:rPr>
        <w:br w:type="page"/>
      </w:r>
    </w:p>
    <w:p>
      <w:pPr>
        <w:pStyle w:val="2"/>
        <w:numPr>
          <w:ilvl w:val="0"/>
          <w:numId w:val="1"/>
        </w:numPr>
        <w:spacing w:line="360" w:lineRule="auto"/>
        <w:rPr>
          <w:rFonts w:ascii="黑体" w:hAnsi="黑体" w:eastAsia="黑体" w:cs="黑体"/>
          <w:b w:val="0"/>
          <w:bCs w:val="0"/>
          <w:szCs w:val="30"/>
          <w:lang w:val="de-DE"/>
        </w:rPr>
      </w:pPr>
      <w:bookmarkStart w:id="6" w:name="_Toc38901533"/>
      <w:bookmarkStart w:id="7" w:name="_Toc38903777"/>
      <w:r>
        <w:rPr>
          <w:rFonts w:hint="eastAsia" w:ascii="黑体" w:hAnsi="黑体" w:eastAsia="黑体" w:cs="黑体"/>
          <w:b w:val="0"/>
          <w:bCs w:val="0"/>
          <w:szCs w:val="30"/>
          <w:lang w:val="de-DE"/>
        </w:rPr>
        <w:t>斯宾诺莎的“三”与“一”</w:t>
      </w:r>
      <w:bookmarkEnd w:id="6"/>
      <w:bookmarkEnd w:id="7"/>
    </w:p>
    <w:p>
      <w:pPr>
        <w:spacing w:line="360" w:lineRule="auto"/>
        <w:ind w:firstLine="480" w:firstLineChars="200"/>
        <w:jc w:val="both"/>
        <w:rPr>
          <w:rFonts w:ascii="宋体" w:hAnsi="宋体" w:eastAsia="宋体"/>
          <w:lang w:val="de-DE"/>
        </w:rPr>
      </w:pPr>
      <w:r>
        <w:rPr>
          <w:rFonts w:hint="eastAsia" w:ascii="宋体" w:hAnsi="宋体" w:eastAsia="宋体"/>
          <w:lang w:val="de-DE"/>
        </w:rPr>
        <w:t>对于“三”和“一”的应用似乎在斯宾诺莎的思想体系中占据重要位置。在某种程度上，这种对于“三”和“一”的应用可以视作斯宾诺莎对基督教传统的三一律进行的哲学化应用。在《形而上学思想》中论证神的永恒性时，斯宾诺莎谈到：“认为神能够把他自己的永恒性分给被创造事物，这种看法是完全错误的，圣子并不是创造的，而是像圣父一样永恒的。由此可见，当我们说圣父永恒地产生圣子时，我们只是想说，圣父与圣子永恒地分享着他自己的永恒性。”</w:t>
      </w:r>
      <w:r>
        <w:rPr>
          <w:rStyle w:val="28"/>
          <w:rFonts w:ascii="宋体" w:hAnsi="宋体" w:eastAsia="宋体"/>
          <w:lang w:val="de-DE"/>
        </w:rPr>
        <w:footnoteReference w:id="3"/>
      </w:r>
      <w:r>
        <w:rPr>
          <w:rFonts w:hint="eastAsia" w:ascii="宋体" w:hAnsi="宋体" w:eastAsia="宋体"/>
          <w:lang w:val="de-DE"/>
        </w:rPr>
        <w:t>从文本角度看，“三”的逻辑更多体现于较早写作的《形而上学思想》，“一”的逻辑则更多体现于较晚写作的《伦理学》。因此，我们将深入其理论内部，从斯宾诺莎的文本中揭示他的两种逻辑思路。</w:t>
      </w:r>
      <w:bookmarkStart w:id="8" w:name="_Toc38901534"/>
      <w:bookmarkStart w:id="9" w:name="_Toc38903778"/>
    </w:p>
    <w:p>
      <w:pPr>
        <w:pStyle w:val="3"/>
        <w:numPr>
          <w:ilvl w:val="0"/>
          <w:numId w:val="2"/>
        </w:numPr>
        <w:spacing w:line="360" w:lineRule="auto"/>
        <w:ind w:firstLine="0"/>
        <w:rPr>
          <w:rFonts w:ascii="黑体" w:hAnsi="黑体" w:eastAsia="黑体" w:cs="黑体"/>
          <w:b w:val="0"/>
          <w:bCs w:val="0"/>
          <w:sz w:val="28"/>
          <w:szCs w:val="28"/>
          <w:lang w:val="de-DE"/>
        </w:rPr>
      </w:pPr>
      <w:r>
        <w:rPr>
          <w:rFonts w:hint="eastAsia" w:ascii="黑体" w:hAnsi="黑体" w:eastAsia="黑体" w:cs="黑体"/>
          <w:b w:val="0"/>
          <w:bCs w:val="0"/>
          <w:sz w:val="28"/>
          <w:szCs w:val="28"/>
          <w:lang w:val="de-DE"/>
        </w:rPr>
        <w:t>“三”之逻辑</w:t>
      </w:r>
      <w:bookmarkEnd w:id="8"/>
      <w:bookmarkEnd w:id="9"/>
    </w:p>
    <w:p>
      <w:pPr>
        <w:spacing w:line="360" w:lineRule="auto"/>
        <w:ind w:firstLine="480" w:firstLineChars="200"/>
        <w:jc w:val="both"/>
        <w:rPr>
          <w:rFonts w:ascii="宋体" w:hAnsi="宋体" w:eastAsia="宋体"/>
          <w:lang w:val="de-DE"/>
        </w:rPr>
      </w:pPr>
      <w:r>
        <w:rPr>
          <w:rFonts w:hint="eastAsia" w:ascii="宋体" w:hAnsi="宋体" w:eastAsia="宋体"/>
          <w:lang w:val="de-DE"/>
        </w:rPr>
        <w:t>通过对不同文本的比对，笔者认为，斯宾诺莎有关“三”的逻辑可以按照著作、论述层次和具体段落三个标准进行分类，具体可以分为三组：实体的“三”；有限者的“三”；样式的“三”。下文的论述将围绕此三者展开。</w:t>
      </w:r>
    </w:p>
    <w:p>
      <w:pPr>
        <w:pStyle w:val="4"/>
        <w:numPr>
          <w:ilvl w:val="0"/>
          <w:numId w:val="3"/>
        </w:numPr>
        <w:spacing w:line="360" w:lineRule="auto"/>
        <w:rPr>
          <w:rFonts w:ascii="黑体" w:hAnsi="黑体" w:eastAsia="黑体" w:cs="黑体"/>
          <w:b w:val="0"/>
          <w:bCs w:val="0"/>
          <w:sz w:val="24"/>
          <w:szCs w:val="24"/>
          <w:lang w:val="de-DE"/>
        </w:rPr>
      </w:pPr>
      <w:bookmarkStart w:id="10" w:name="_Toc38901535"/>
      <w:r>
        <w:rPr>
          <w:rFonts w:hint="eastAsia" w:ascii="黑体" w:hAnsi="黑体" w:eastAsia="黑体" w:cs="黑体"/>
          <w:b w:val="0"/>
          <w:bCs w:val="0"/>
          <w:sz w:val="24"/>
          <w:szCs w:val="24"/>
          <w:lang w:val="de-DE"/>
        </w:rPr>
        <w:t>实体的“三”</w:t>
      </w:r>
      <w:bookmarkEnd w:id="10"/>
    </w:p>
    <w:p>
      <w:pPr>
        <w:spacing w:line="360" w:lineRule="auto"/>
        <w:ind w:firstLine="480" w:firstLineChars="200"/>
        <w:jc w:val="both"/>
        <w:rPr>
          <w:rFonts w:ascii="宋体" w:hAnsi="宋体" w:eastAsia="宋体"/>
          <w:lang w:val="de-DE"/>
        </w:rPr>
      </w:pPr>
      <w:r>
        <w:rPr>
          <w:rFonts w:hint="eastAsia" w:ascii="宋体" w:hAnsi="宋体" w:eastAsia="宋体"/>
          <w:lang w:val="de-DE"/>
        </w:rPr>
        <w:t>第一组“三”是圆满性、本质、力量。这种表述体现在</w:t>
      </w:r>
      <w:r>
        <w:rPr>
          <w:rFonts w:hint="eastAsia" w:eastAsia="宋体" w:asciiTheme="majorBidi" w:hAnsiTheme="majorBidi" w:cstheme="majorBidi"/>
          <w:lang w:val="de-DE"/>
        </w:rPr>
        <w:t>斯宾诺莎《形而上学原理》的</w:t>
      </w:r>
      <w:r>
        <w:rPr>
          <w:rFonts w:eastAsia="宋体" w:asciiTheme="majorBidi" w:hAnsiTheme="majorBidi" w:cstheme="majorBidi"/>
          <w:lang w:val="de-DE"/>
        </w:rPr>
        <w:t>“论神的广大无边（immensitas）”</w:t>
      </w:r>
      <w:r>
        <w:rPr>
          <w:rFonts w:hint="eastAsia" w:eastAsia="宋体" w:asciiTheme="majorBidi" w:hAnsiTheme="majorBidi" w:cstheme="majorBidi"/>
          <w:lang w:val="de-DE"/>
        </w:rPr>
        <w:t>的</w:t>
      </w:r>
      <w:r>
        <w:rPr>
          <w:rFonts w:ascii="宋体" w:hAnsi="宋体" w:eastAsia="宋体" w:cstheme="majorBidi"/>
          <w:lang w:val="de-DE"/>
        </w:rPr>
        <w:t>部分。</w:t>
      </w:r>
      <w:r>
        <w:rPr>
          <w:rStyle w:val="28"/>
          <w:rFonts w:ascii="宋体" w:hAnsi="宋体" w:eastAsia="宋体" w:cstheme="majorBidi"/>
          <w:lang w:val="de-DE"/>
        </w:rPr>
        <w:footnoteReference w:id="4"/>
      </w:r>
      <w:r>
        <w:rPr>
          <w:rFonts w:ascii="宋体" w:hAnsi="宋体" w:eastAsia="宋体" w:cstheme="majorBidi"/>
          <w:lang w:val="de-DE"/>
        </w:rPr>
        <w:t>在其中，斯宾诺莎指出，神之所以被看做广大无边的，仅仅是由于神可以作为第一</w:t>
      </w:r>
      <w:r>
        <w:rPr>
          <w:rFonts w:eastAsia="宋体" w:asciiTheme="majorBidi" w:hAnsiTheme="majorBidi" w:cstheme="majorBidi"/>
          <w:lang w:val="de-DE"/>
        </w:rPr>
        <w:t>因，而不是由于其圆满性。神应当是无限的，而非广延意义上的广大无边</w:t>
      </w:r>
      <w:r>
        <w:rPr>
          <w:rFonts w:hint="eastAsia" w:eastAsia="宋体" w:asciiTheme="majorBidi" w:hAnsiTheme="majorBidi" w:cstheme="majorBidi"/>
          <w:lang w:val="de-DE"/>
        </w:rPr>
        <w:t>。</w:t>
      </w:r>
      <w:r>
        <w:rPr>
          <w:rFonts w:eastAsia="宋体" w:asciiTheme="majorBidi" w:hAnsiTheme="majorBidi" w:cstheme="majorBidi"/>
          <w:lang w:val="de-DE"/>
        </w:rPr>
        <w:t>神之所以具有无限性（infinitas）“仅仅是因为我们是就神的本质或神的最高圆满性而言的”。这里，神的本质和神的最高圆满性被同时视作对神的无限性的证明，因为神的本质必然包含最高完满性</w:t>
      </w:r>
      <w:r>
        <w:rPr>
          <w:rFonts w:hint="eastAsia" w:eastAsia="宋体" w:asciiTheme="majorBidi" w:hAnsiTheme="majorBidi" w:cstheme="majorBidi"/>
          <w:lang w:val="de-DE"/>
        </w:rPr>
        <w:t>。</w:t>
      </w:r>
      <w:r>
        <w:rPr>
          <w:rFonts w:eastAsia="宋体" w:asciiTheme="majorBidi" w:hAnsiTheme="majorBidi" w:cstheme="majorBidi"/>
          <w:lang w:val="de-DE"/>
        </w:rPr>
        <w:t>后者作为从笛卡尔那里继承来的概念，在体系中占据与神的本</w:t>
      </w:r>
      <w:r>
        <w:rPr>
          <w:rFonts w:hint="eastAsia" w:ascii="宋体" w:hAnsi="宋体" w:eastAsia="宋体"/>
          <w:lang w:val="de-DE"/>
        </w:rPr>
        <w:t>质相同地位。接下来，为了更好地驳斥某些人关于神的“广大无边”和“无所不在”所持有的成见。斯宾诺莎指出，试图利用本质论证前者并用力量论证后者是不成立的，因为“神的力量和神的本质是不能区分的”，“这都是一回事”。</w:t>
      </w:r>
      <w:r>
        <w:rPr>
          <w:rStyle w:val="28"/>
          <w:rFonts w:ascii="宋体" w:hAnsi="宋体" w:eastAsia="宋体"/>
          <w:lang w:val="de-DE"/>
        </w:rPr>
        <w:footnoteReference w:id="5"/>
      </w:r>
    </w:p>
    <w:p>
      <w:pPr>
        <w:spacing w:line="360" w:lineRule="auto"/>
        <w:ind w:firstLine="480" w:firstLineChars="200"/>
        <w:jc w:val="both"/>
        <w:rPr>
          <w:rFonts w:ascii="宋体" w:hAnsi="宋体" w:eastAsia="宋体"/>
          <w:lang w:val="de-DE"/>
        </w:rPr>
      </w:pPr>
      <w:r>
        <w:rPr>
          <w:rFonts w:hint="eastAsia" w:ascii="宋体" w:hAnsi="宋体" w:eastAsia="宋体"/>
          <w:lang w:val="de-DE"/>
        </w:rPr>
        <w:t>第二组“三”是意志、理智、力量。本组论述可以从斯宾诺莎那里较为清晰地发掘出来，主要体现在其对于神的意志的论述中：“神的意志和力量，同神的理智没有外在的区别……神用以创造、理解、保存或热爱被创造事物的理智、力量和意志彼此之间是完全没有区别的，而只有对我们的思想说来，它们才有区别。”</w:t>
      </w:r>
      <w:r>
        <w:rPr>
          <w:rStyle w:val="28"/>
          <w:rFonts w:ascii="宋体" w:hAnsi="宋体" w:eastAsia="宋体"/>
          <w:lang w:val="de-DE"/>
        </w:rPr>
        <w:footnoteReference w:id="6"/>
      </w:r>
      <w:r>
        <w:rPr>
          <w:rFonts w:hint="eastAsia" w:ascii="宋体" w:hAnsi="宋体" w:eastAsia="宋体"/>
          <w:lang w:val="de-DE"/>
        </w:rPr>
        <w:t>值得注意的是，最后一句中暗含的“合一”思想在其《伦理学》中得到更为明确的体现。</w:t>
      </w:r>
      <w:r>
        <w:rPr>
          <w:rStyle w:val="28"/>
          <w:rFonts w:ascii="宋体" w:hAnsi="宋体" w:eastAsia="宋体"/>
          <w:lang w:val="de-DE"/>
        </w:rPr>
        <w:footnoteReference w:id="7"/>
      </w:r>
    </w:p>
    <w:p>
      <w:pPr>
        <w:spacing w:line="360" w:lineRule="auto"/>
        <w:ind w:firstLine="480" w:firstLineChars="200"/>
        <w:jc w:val="both"/>
        <w:rPr>
          <w:rFonts w:eastAsia="宋体" w:asciiTheme="majorBidi" w:hAnsiTheme="majorBidi" w:cstheme="majorBidi"/>
          <w:lang w:val="de-DE"/>
        </w:rPr>
      </w:pPr>
      <w:r>
        <w:rPr>
          <w:rFonts w:hint="eastAsia" w:ascii="宋体" w:hAnsi="宋体" w:eastAsia="宋体"/>
          <w:lang w:val="de-DE"/>
        </w:rPr>
        <w:t>第三组“三”是本质、存在、力量。这一组论述集中体现在《伦理学》第一部分。斯宾诺莎认为，因为实体是自因</w:t>
      </w:r>
      <w:r>
        <w:rPr>
          <w:rFonts w:hint="eastAsia" w:ascii="宋体" w:hAnsi="宋体" w:eastAsia="宋体"/>
        </w:rPr>
        <w:t>(</w:t>
      </w:r>
      <w:r>
        <w:rPr>
          <w:rFonts w:eastAsia="宋体"/>
        </w:rPr>
        <w:t>causa sui</w:t>
      </w:r>
      <w:r>
        <w:rPr>
          <w:rFonts w:hint="eastAsia" w:ascii="宋体" w:hAnsi="宋体" w:eastAsia="宋体"/>
        </w:rPr>
        <w:t>)</w:t>
      </w:r>
      <w:r>
        <w:rPr>
          <w:rFonts w:hint="eastAsia" w:ascii="宋体" w:hAnsi="宋体" w:eastAsia="宋体"/>
          <w:lang w:val="de-DE"/>
        </w:rPr>
        <w:t>，所以“它的本质必然包含存在，或者说，存在即属</w:t>
      </w:r>
      <w:r>
        <w:rPr>
          <w:rFonts w:eastAsia="宋体" w:asciiTheme="majorBidi" w:hAnsiTheme="majorBidi" w:cstheme="majorBidi"/>
          <w:lang w:val="de-DE"/>
        </w:rPr>
        <w:t>于它的本性（natur）</w:t>
      </w:r>
      <w:r>
        <w:rPr>
          <w:rFonts w:hint="eastAsia" w:eastAsia="宋体" w:asciiTheme="majorBidi" w:hAnsiTheme="majorBidi" w:cstheme="majorBidi"/>
          <w:lang w:val="de-DE"/>
        </w:rPr>
        <w:t>”</w:t>
      </w:r>
      <w:r>
        <w:rPr>
          <w:rStyle w:val="28"/>
          <w:rFonts w:ascii="宋体" w:hAnsi="宋体" w:eastAsia="宋体" w:cstheme="majorBidi"/>
          <w:lang w:val="de-DE"/>
        </w:rPr>
        <w:footnoteReference w:id="8"/>
      </w:r>
      <w:r>
        <w:rPr>
          <w:rFonts w:hint="eastAsia" w:ascii="宋体" w:hAnsi="宋体" w:eastAsia="宋体" w:cstheme="majorBidi"/>
          <w:lang w:val="de-DE"/>
        </w:rPr>
        <w:t>。只有作为必然存在的神的本质中包含存在，而存在不归属于有限事物，它们只分有存在的样式，因此有限事物不必然存在。随后，斯宾诺莎断言，“神的力量就是神的本质本身”，将力量作为“神自身与万物存在和活动”的依据，从而将力量与代表神的本质的必然性合为一体。</w:t>
      </w:r>
      <w:r>
        <w:rPr>
          <w:rStyle w:val="28"/>
          <w:rFonts w:ascii="宋体" w:hAnsi="宋体" w:eastAsia="宋体" w:cstheme="majorBidi"/>
          <w:lang w:val="de-DE"/>
        </w:rPr>
        <w:footnoteReference w:id="9"/>
      </w:r>
      <w:r>
        <w:rPr>
          <w:rFonts w:hint="eastAsia" w:ascii="宋体" w:hAnsi="宋体" w:eastAsia="宋体" w:cstheme="majorBidi"/>
          <w:lang w:val="de-DE"/>
        </w:rPr>
        <w:t>因此，三者在以本质为核心的概念簇中得到了统一，奠</w:t>
      </w:r>
      <w:r>
        <w:rPr>
          <w:rFonts w:hint="eastAsia" w:eastAsia="宋体" w:asciiTheme="majorBidi" w:hAnsiTheme="majorBidi" w:cstheme="majorBidi"/>
          <w:lang w:val="de-DE"/>
        </w:rPr>
        <w:t>定了《伦理学》论证的基本框架。</w:t>
      </w:r>
    </w:p>
    <w:p>
      <w:pPr>
        <w:pStyle w:val="4"/>
        <w:numPr>
          <w:ilvl w:val="0"/>
          <w:numId w:val="3"/>
        </w:numPr>
        <w:spacing w:line="360" w:lineRule="auto"/>
        <w:rPr>
          <w:rFonts w:ascii="黑体" w:hAnsi="黑体" w:eastAsia="黑体" w:cs="黑体"/>
          <w:b w:val="0"/>
          <w:bCs w:val="0"/>
          <w:sz w:val="24"/>
          <w:szCs w:val="24"/>
          <w:lang w:val="de-DE"/>
        </w:rPr>
      </w:pPr>
      <w:bookmarkStart w:id="11" w:name="_Toc38901536"/>
      <w:r>
        <w:rPr>
          <w:rFonts w:hint="eastAsia" w:ascii="黑体" w:hAnsi="黑体" w:eastAsia="黑体" w:cs="黑体"/>
          <w:b w:val="0"/>
          <w:bCs w:val="0"/>
          <w:sz w:val="24"/>
          <w:szCs w:val="24"/>
          <w:lang w:val="de-DE"/>
        </w:rPr>
        <w:t>有限者的“三”</w:t>
      </w:r>
      <w:bookmarkEnd w:id="11"/>
    </w:p>
    <w:p>
      <w:pPr>
        <w:spacing w:line="360" w:lineRule="auto"/>
        <w:ind w:firstLine="480" w:firstLineChars="200"/>
        <w:jc w:val="both"/>
        <w:rPr>
          <w:rFonts w:eastAsia="宋体" w:asciiTheme="majorBidi" w:hAnsiTheme="majorBidi" w:cstheme="majorBidi"/>
          <w:lang w:val="de-DE"/>
        </w:rPr>
      </w:pPr>
      <w:r>
        <w:rPr>
          <w:rFonts w:hint="eastAsia" w:eastAsia="宋体" w:asciiTheme="majorBidi" w:hAnsiTheme="majorBidi" w:cstheme="majorBidi"/>
          <w:lang w:val="de-DE"/>
        </w:rPr>
        <w:t>这一组指的是德性、力量和存在。具体的表述体现在《伦理学》第四部分，斯宾诺莎认为，</w:t>
      </w:r>
      <w:r>
        <w:rPr>
          <w:rFonts w:hint="eastAsia" w:ascii="宋体" w:hAnsi="宋体" w:eastAsia="宋体" w:cstheme="majorBidi"/>
          <w:lang w:val="de-DE"/>
        </w:rPr>
        <w:t>“一个人越是努力去追求他自己的利益或保持他自己的存在，则他便愈具有德性，反之，只要一个人忽略他自己的利益或忽略他自己存在的保持，则他便算是软弱无能”。</w:t>
      </w:r>
      <w:r>
        <w:rPr>
          <w:rStyle w:val="28"/>
          <w:rFonts w:ascii="宋体" w:hAnsi="宋体" w:eastAsia="宋体" w:cstheme="majorBidi"/>
          <w:lang w:val="de-DE"/>
        </w:rPr>
        <w:footnoteReference w:id="10"/>
      </w:r>
      <w:r>
        <w:rPr>
          <w:rFonts w:hint="eastAsia" w:ascii="宋体" w:hAnsi="宋体" w:eastAsia="宋体" w:cstheme="majorBidi"/>
          <w:lang w:val="de-DE"/>
        </w:rPr>
        <w:t>这里，斯宾诺莎将其哲学体系</w:t>
      </w:r>
      <w:r>
        <w:rPr>
          <w:rFonts w:hint="eastAsia" w:eastAsia="宋体" w:asciiTheme="majorBidi" w:hAnsiTheme="majorBidi" w:cstheme="majorBidi"/>
          <w:lang w:val="de-DE"/>
        </w:rPr>
        <w:t>引向一种道德哲学，即对于个体的人来说，这三者是在其中一致的或处于同一层次的，这与神或实体没有关系，而更多强调从神转向人。因为对于德性的追求就在于追求自身的存在，而追求自身的存在本身就是对于上帝的爱的体现。</w:t>
      </w:r>
    </w:p>
    <w:p>
      <w:pPr>
        <w:pStyle w:val="4"/>
        <w:numPr>
          <w:ilvl w:val="0"/>
          <w:numId w:val="3"/>
        </w:numPr>
        <w:spacing w:line="360" w:lineRule="auto"/>
        <w:rPr>
          <w:rFonts w:ascii="黑体" w:hAnsi="黑体" w:eastAsia="黑体" w:cs="黑体"/>
          <w:b w:val="0"/>
          <w:bCs w:val="0"/>
          <w:sz w:val="24"/>
          <w:szCs w:val="24"/>
          <w:lang w:val="de-DE"/>
        </w:rPr>
      </w:pPr>
      <w:bookmarkStart w:id="12" w:name="_Toc38901537"/>
      <w:r>
        <w:rPr>
          <w:rFonts w:hint="eastAsia" w:ascii="黑体" w:hAnsi="黑体" w:eastAsia="黑体" w:cs="黑体"/>
          <w:b w:val="0"/>
          <w:bCs w:val="0"/>
          <w:sz w:val="24"/>
          <w:szCs w:val="24"/>
          <w:lang w:val="de-DE"/>
        </w:rPr>
        <w:t>样式的“三”</w:t>
      </w:r>
      <w:bookmarkEnd w:id="12"/>
    </w:p>
    <w:p>
      <w:pPr>
        <w:spacing w:line="360" w:lineRule="auto"/>
        <w:ind w:firstLine="480" w:firstLineChars="200"/>
        <w:jc w:val="both"/>
        <w:rPr>
          <w:rFonts w:eastAsia="宋体" w:asciiTheme="majorBidi" w:hAnsiTheme="majorBidi" w:cstheme="majorBidi"/>
          <w:lang w:val="de-DE"/>
        </w:rPr>
      </w:pPr>
      <w:r>
        <w:rPr>
          <w:rFonts w:hint="eastAsia" w:eastAsia="宋体" w:asciiTheme="majorBidi" w:hAnsiTheme="majorBidi" w:cstheme="majorBidi"/>
          <w:lang w:val="de-DE"/>
        </w:rPr>
        <w:t>事物层面的“三”，体现为“实在的区别、样式的区别和思想的区别”。具体来看，“实在的区别”体现为“思想和广延两个实体的区别”</w:t>
      </w:r>
      <w:r>
        <w:rPr>
          <w:rStyle w:val="28"/>
          <w:rFonts w:ascii="宋体" w:hAnsi="宋体" w:eastAsia="宋体" w:cstheme="majorBidi"/>
          <w:lang w:val="de-DE"/>
        </w:rPr>
        <w:footnoteReference w:id="11"/>
      </w:r>
      <w:r>
        <w:rPr>
          <w:rFonts w:hint="eastAsia" w:eastAsia="宋体" w:asciiTheme="majorBidi" w:hAnsiTheme="majorBidi" w:cstheme="majorBidi"/>
          <w:lang w:val="de-DE"/>
        </w:rPr>
        <w:t>与“物质的诸部分之间的区别”。这类事物（区别）的特点在于“一个没有另一个同样也能清晰地设想，因而也能单独存在”。“样式的区别”体现为实体与样式之间的区别和实体的不同样式之间的区别。样式之间相互分离时都可以得到理解，但是如果样式与实体相分离，则样式就无法得到理解。“思想的区别”指的是“实体和它的属性之间的所产生的区别”，例如，绵延（属性）就不同于广延（实体）。而之所以是思想上的区别，是因为离开属性，实体就无法得到理解。</w:t>
      </w:r>
      <w:r>
        <w:rPr>
          <w:rStyle w:val="28"/>
          <w:rFonts w:ascii="宋体" w:hAnsi="宋体" w:eastAsia="宋体" w:cstheme="majorBidi"/>
          <w:lang w:val="de-DE"/>
        </w:rPr>
        <w:footnoteReference w:id="12"/>
      </w:r>
    </w:p>
    <w:p>
      <w:pPr>
        <w:spacing w:line="360" w:lineRule="auto"/>
        <w:ind w:firstLine="480" w:firstLineChars="200"/>
        <w:jc w:val="both"/>
        <w:rPr>
          <w:rFonts w:eastAsia="宋体" w:asciiTheme="majorBidi" w:hAnsiTheme="majorBidi" w:cstheme="majorBidi"/>
          <w:strike/>
          <w:lang w:val="de-DE"/>
        </w:rPr>
      </w:pPr>
      <w:r>
        <w:rPr>
          <w:rFonts w:hint="eastAsia" w:eastAsia="宋体" w:asciiTheme="majorBidi" w:hAnsiTheme="majorBidi" w:cstheme="majorBidi"/>
          <w:lang w:val="de-DE"/>
        </w:rPr>
        <w:t>思想层面的“三”，具体体现在三种知识上，即“意见”的知识、“真信仰”的知识、“清楚而明晰”的</w:t>
      </w:r>
      <w:r>
        <w:rPr>
          <w:rFonts w:hint="eastAsia" w:ascii="宋体" w:hAnsi="宋体" w:eastAsia="宋体" w:cstheme="majorBidi"/>
          <w:lang w:val="de-DE"/>
        </w:rPr>
        <w:t>知识。</w:t>
      </w:r>
      <w:r>
        <w:rPr>
          <w:rStyle w:val="28"/>
          <w:rFonts w:ascii="宋体" w:hAnsi="宋体" w:eastAsia="宋体" w:cstheme="majorBidi"/>
          <w:lang w:val="de-DE"/>
        </w:rPr>
        <w:footnoteReference w:id="13"/>
      </w:r>
      <w:r>
        <w:rPr>
          <w:rFonts w:hint="eastAsia" w:ascii="宋体" w:hAnsi="宋体" w:eastAsia="宋体" w:cstheme="majorBidi"/>
          <w:lang w:val="de-DE"/>
        </w:rPr>
        <w:t>这些知识都是我们作为</w:t>
      </w:r>
      <w:r>
        <w:rPr>
          <w:rFonts w:hint="eastAsia" w:eastAsia="宋体" w:asciiTheme="majorBidi" w:hAnsiTheme="majorBidi" w:cstheme="majorBidi"/>
          <w:lang w:val="de-DE"/>
        </w:rPr>
        <w:t>有限存在对自身知识以及我们之外的事物的概念或认识。这种通过人的理智获得的“确实的知识”，作为一种真观念，同样反映了实体所内涵的真实属性或属性的样式。</w:t>
      </w:r>
    </w:p>
    <w:p>
      <w:pPr>
        <w:spacing w:line="360" w:lineRule="auto"/>
        <w:ind w:firstLine="480" w:firstLineChars="200"/>
        <w:jc w:val="both"/>
        <w:rPr>
          <w:rFonts w:eastAsia="宋体" w:asciiTheme="majorBidi" w:hAnsiTheme="majorBidi" w:cstheme="majorBidi"/>
          <w:lang w:val="de-DE"/>
        </w:rPr>
      </w:pPr>
      <w:r>
        <w:rPr>
          <w:rFonts w:hint="eastAsia" w:eastAsia="宋体" w:asciiTheme="majorBidi" w:hAnsiTheme="majorBidi" w:cstheme="majorBidi"/>
          <w:lang w:val="de-DE"/>
        </w:rPr>
        <w:t>至此，我们就完成对于“三”之逻辑的考察，转向对“一”之逻辑的考察。</w:t>
      </w:r>
    </w:p>
    <w:p>
      <w:pPr>
        <w:pStyle w:val="3"/>
        <w:numPr>
          <w:ilvl w:val="0"/>
          <w:numId w:val="2"/>
        </w:numPr>
        <w:spacing w:line="360" w:lineRule="auto"/>
        <w:ind w:firstLine="0"/>
        <w:rPr>
          <w:rFonts w:ascii="黑体" w:hAnsi="黑体" w:eastAsia="黑体" w:cs="黑体"/>
          <w:b w:val="0"/>
          <w:bCs w:val="0"/>
          <w:sz w:val="28"/>
          <w:szCs w:val="28"/>
          <w:lang w:val="de-DE"/>
        </w:rPr>
      </w:pPr>
      <w:bookmarkStart w:id="13" w:name="_Toc38901538"/>
      <w:bookmarkStart w:id="14" w:name="_Toc38903779"/>
      <w:r>
        <w:rPr>
          <w:rFonts w:hint="eastAsia" w:ascii="黑体" w:hAnsi="黑体" w:eastAsia="黑体" w:cs="黑体"/>
          <w:b w:val="0"/>
          <w:bCs w:val="0"/>
          <w:sz w:val="28"/>
          <w:szCs w:val="28"/>
          <w:lang w:val="de-DE"/>
        </w:rPr>
        <w:t>“一”之逻辑</w:t>
      </w:r>
      <w:bookmarkEnd w:id="13"/>
      <w:bookmarkEnd w:id="14"/>
    </w:p>
    <w:p>
      <w:pPr>
        <w:spacing w:line="360" w:lineRule="auto"/>
        <w:ind w:firstLine="480" w:firstLineChars="200"/>
        <w:jc w:val="both"/>
        <w:rPr>
          <w:rFonts w:eastAsia="宋体" w:asciiTheme="majorBidi" w:hAnsiTheme="majorBidi" w:cstheme="majorBidi"/>
          <w:lang w:val="de-DE"/>
        </w:rPr>
      </w:pPr>
      <w:r>
        <w:rPr>
          <w:rFonts w:hint="eastAsia" w:eastAsia="宋体" w:asciiTheme="majorBidi" w:hAnsiTheme="majorBidi" w:cstheme="majorBidi"/>
          <w:lang w:val="de-DE"/>
        </w:rPr>
        <w:t>斯宾诺莎的“一”的逻辑，看似是“三”的逻辑的逻辑后承，实则是与“三”的逻辑并列的两条线索。我们的理智中总有将各个看似独立的事物合并在一处的冲动，但是，“三”不代表一种“分离”，而是一种对人而言的获得性的“三”，即无论“三”抑或是“一”都是真理的表现形式。深入对于“一”的思考，同样也就是对于“三”的思考的深化。但是，我们仍然需要解释，斯宾诺莎是如何从先前的“三”的逻辑转变为“一”的逻辑。笔者认为，这一过程体现在斯宾诺莎对“量”的划分之中。在《伦理学》中，“量”被分为“抽象的或表面的量”（它是我们想象的产物）和“作为实体的量”（它只从理智中产生）。对于“想象的量”而言，“量”是有限的、可分的；对于“实体的量”而言，“量”就是无限的、唯一的和不可分的。因此，从实体的角度出发，所有被认识的属性都是与实体同一的，实体本身并不可分；从人的想象出发，实体的量则变得可分，任何一种被独立认识的属性，都是真切的（adequate）认识，都是人从神那里获得的真观念。在这一点上，斯宾诺莎与康德主义者具有根本性的分歧。</w:t>
      </w:r>
    </w:p>
    <w:p>
      <w:pPr>
        <w:spacing w:line="360" w:lineRule="auto"/>
        <w:ind w:firstLine="480" w:firstLineChars="200"/>
        <w:jc w:val="both"/>
        <w:rPr>
          <w:rFonts w:eastAsia="宋体" w:asciiTheme="majorBidi" w:hAnsiTheme="majorBidi" w:cstheme="majorBidi"/>
          <w:lang w:val="de-DE"/>
        </w:rPr>
      </w:pPr>
      <w:r>
        <w:rPr>
          <w:rFonts w:hint="eastAsia" w:eastAsia="宋体" w:asciiTheme="majorBidi" w:hAnsiTheme="majorBidi" w:cstheme="majorBidi"/>
          <w:lang w:val="de-DE"/>
        </w:rPr>
        <w:t>正如斯宾诺莎对于无限整体和有限部分的论述那样，如果实体是可分的，那么其完满性势必丧失，成为不完满的存在，这是不可能的。因此，只有一个实体（或神），而且这个实体是无限的、单纯的且永恒的。</w:t>
      </w:r>
      <w:r>
        <w:rPr>
          <w:rStyle w:val="28"/>
          <w:rFonts w:eastAsia="宋体" w:asciiTheme="majorBidi" w:hAnsiTheme="majorBidi" w:cstheme="majorBidi"/>
          <w:lang w:val="de-DE"/>
        </w:rPr>
        <w:footnoteReference w:id="14"/>
      </w:r>
      <w:r>
        <w:rPr>
          <w:rFonts w:hint="eastAsia" w:eastAsia="宋体" w:asciiTheme="majorBidi" w:hAnsiTheme="majorBidi" w:cstheme="majorBidi"/>
          <w:lang w:val="de-DE"/>
        </w:rPr>
        <w:t>进而，斯宾诺莎作出推论：“一切存在的东西，都存在于神之内，没有神就不能有任何东西存在，也不能有任何东西被认识。”</w:t>
      </w:r>
      <w:r>
        <w:rPr>
          <w:rStyle w:val="28"/>
          <w:rFonts w:eastAsia="宋体" w:asciiTheme="majorBidi" w:hAnsiTheme="majorBidi" w:cstheme="majorBidi"/>
          <w:lang w:val="de-DE"/>
        </w:rPr>
        <w:footnoteReference w:id="15"/>
      </w:r>
      <w:r>
        <w:rPr>
          <w:rFonts w:hint="eastAsia" w:eastAsia="宋体" w:asciiTheme="majorBidi" w:hAnsiTheme="majorBidi" w:cstheme="majorBidi"/>
          <w:lang w:val="de-DE"/>
        </w:rPr>
        <w:t>神成为万物的内在因（causa</w:t>
      </w:r>
      <w:r>
        <w:rPr>
          <w:rFonts w:eastAsia="宋体" w:asciiTheme="majorBidi" w:hAnsiTheme="majorBidi" w:cstheme="majorBidi"/>
          <w:lang w:val="de-DE"/>
        </w:rPr>
        <w:t xml:space="preserve"> </w:t>
      </w:r>
      <w:r>
        <w:rPr>
          <w:rFonts w:hint="eastAsia" w:eastAsia="宋体" w:asciiTheme="majorBidi" w:hAnsiTheme="majorBidi" w:cstheme="majorBidi"/>
          <w:lang w:val="de-DE"/>
        </w:rPr>
        <w:t>immanens），而不是外在因（causa</w:t>
      </w:r>
      <w:r>
        <w:rPr>
          <w:rFonts w:eastAsia="宋体" w:asciiTheme="majorBidi" w:hAnsiTheme="majorBidi" w:cstheme="majorBidi"/>
          <w:lang w:val="de-DE"/>
        </w:rPr>
        <w:t xml:space="preserve"> </w:t>
      </w:r>
      <w:r>
        <w:rPr>
          <w:rFonts w:hint="eastAsia" w:eastAsia="宋体" w:asciiTheme="majorBidi" w:hAnsiTheme="majorBidi" w:cstheme="majorBidi"/>
          <w:lang w:val="de-DE"/>
        </w:rPr>
        <w:t>transiens）。“内在”就意味着，“一”的逻辑以神的内在必然性为根据，而不是以神对外物的欲求为根据（这会有损神的完满性）。因此，实体始终是与自身同一的，而一切事物又都存在于实体之内。虽然“三”所代表的是一种真实的知识，但是对于“一”而言只是“一”的一个方面。只有作为“一”的实体才能够作为万物真正的原因。进一步，在实体这里只有“一”，而想要分离“三”和“一”的思维则是对于斯宾诺莎的真理观的误读。</w:t>
      </w:r>
    </w:p>
    <w:p>
      <w:pPr>
        <w:spacing w:line="360" w:lineRule="auto"/>
        <w:ind w:firstLine="480" w:firstLineChars="200"/>
        <w:jc w:val="both"/>
        <w:rPr>
          <w:rFonts w:eastAsia="宋体" w:asciiTheme="majorBidi" w:hAnsiTheme="majorBidi" w:cstheme="majorBidi"/>
          <w:lang w:val="de-DE"/>
        </w:rPr>
      </w:pPr>
      <w:r>
        <w:rPr>
          <w:rFonts w:hint="eastAsia" w:eastAsia="宋体" w:asciiTheme="majorBidi" w:hAnsiTheme="majorBidi" w:cstheme="majorBidi"/>
          <w:lang w:val="de-DE"/>
        </w:rPr>
        <w:t>至此，我们大致梳理了“一”的逻辑与“三”的逻辑之间的关系。为了更好地对神的力量元素进行书写，笔者以凸显力量的中心地位为目的，对斯宾诺莎几组“三”的概念进行重组，构造“本质——存在——理智”的“力量三角形”来展开下文的论述。</w:t>
      </w:r>
      <w:r>
        <w:rPr>
          <w:rFonts w:ascii="宋体" w:hAnsi="宋体" w:eastAsia="宋体"/>
          <w:lang w:val="de-DE"/>
        </w:rPr>
        <w:br w:type="page"/>
      </w:r>
    </w:p>
    <w:p>
      <w:pPr>
        <w:pStyle w:val="2"/>
        <w:numPr>
          <w:ilvl w:val="0"/>
          <w:numId w:val="1"/>
        </w:numPr>
        <w:spacing w:line="360" w:lineRule="auto"/>
        <w:rPr>
          <w:rFonts w:ascii="黑体" w:hAnsi="黑体" w:eastAsia="黑体" w:cs="黑体"/>
          <w:b w:val="0"/>
          <w:bCs w:val="0"/>
          <w:szCs w:val="30"/>
          <w:lang w:val="de-DE"/>
        </w:rPr>
      </w:pPr>
      <w:bookmarkStart w:id="15" w:name="_Toc38901539"/>
      <w:bookmarkStart w:id="16" w:name="_Toc38903780"/>
      <w:r>
        <w:rPr>
          <w:rFonts w:hint="eastAsia" w:ascii="黑体" w:hAnsi="黑体" w:eastAsia="黑体" w:cs="黑体"/>
          <w:b w:val="0"/>
          <w:bCs w:val="0"/>
          <w:szCs w:val="30"/>
          <w:lang w:val="de-DE"/>
        </w:rPr>
        <w:t>作为本质的力量</w:t>
      </w:r>
      <w:bookmarkEnd w:id="15"/>
      <w:bookmarkEnd w:id="16"/>
    </w:p>
    <w:p>
      <w:pPr>
        <w:spacing w:line="360" w:lineRule="auto"/>
        <w:ind w:firstLine="480" w:firstLineChars="200"/>
        <w:jc w:val="both"/>
        <w:rPr>
          <w:rFonts w:ascii="宋体" w:hAnsi="宋体" w:eastAsia="宋体"/>
          <w:lang w:val="de-DE"/>
        </w:rPr>
      </w:pPr>
      <w:r>
        <w:rPr>
          <w:rFonts w:hint="eastAsia" w:ascii="宋体" w:hAnsi="宋体" w:eastAsia="宋体"/>
          <w:lang w:val="de-DE"/>
        </w:rPr>
        <w:t>在进行具体论述前，读者有必要意识到本部分及下一部分所面临的一个关键问题，即“本质”和“存在”的关系问题。为了避免被哲学史中纷繁复杂的讨论方式所困扰，此处将通过对于亚里士多德和斯宾诺莎的“本质”之间异同的论述，以求更好地切入斯宾诺莎的“本质”概念，并进一步，理解“力量作为本质”的确切含义。</w:t>
      </w:r>
    </w:p>
    <w:p>
      <w:pPr>
        <w:pStyle w:val="3"/>
        <w:numPr>
          <w:ilvl w:val="0"/>
          <w:numId w:val="4"/>
        </w:numPr>
        <w:spacing w:line="360" w:lineRule="auto"/>
        <w:ind w:firstLine="0"/>
        <w:rPr>
          <w:rFonts w:ascii="黑体" w:hAnsi="黑体" w:eastAsia="黑体" w:cs="黑体"/>
          <w:b w:val="0"/>
          <w:bCs w:val="0"/>
          <w:sz w:val="28"/>
          <w:szCs w:val="28"/>
          <w:lang w:val="de-DE"/>
        </w:rPr>
      </w:pPr>
      <w:bookmarkStart w:id="17" w:name="_Toc38903781"/>
      <w:bookmarkStart w:id="18" w:name="_Toc38901540"/>
      <w:r>
        <w:rPr>
          <w:rFonts w:hint="eastAsia" w:ascii="黑体" w:hAnsi="黑体" w:eastAsia="黑体" w:cs="黑体"/>
          <w:b w:val="0"/>
          <w:bCs w:val="0"/>
          <w:sz w:val="28"/>
          <w:szCs w:val="28"/>
          <w:lang w:val="de-DE"/>
        </w:rPr>
        <w:t>本质作为“预设”</w:t>
      </w:r>
      <w:bookmarkEnd w:id="17"/>
      <w:bookmarkEnd w:id="18"/>
    </w:p>
    <w:p>
      <w:pPr>
        <w:spacing w:line="360" w:lineRule="auto"/>
        <w:ind w:firstLine="480" w:firstLineChars="200"/>
        <w:jc w:val="both"/>
        <w:rPr>
          <w:rFonts w:ascii="宋体" w:hAnsi="宋体" w:eastAsia="宋体"/>
          <w:lang w:val="de-DE"/>
        </w:rPr>
      </w:pPr>
      <w:r>
        <w:rPr>
          <w:rFonts w:hint="eastAsia" w:ascii="宋体" w:hAnsi="宋体" w:eastAsia="宋体"/>
          <w:lang w:val="de-DE"/>
        </w:rPr>
        <w:t>在亚里士多德的范畴体系中，最小的单位是“种”。举例来说，亚里士多德研究的是作为“人”这个种概念而存在的“人”，而非真实存在的作为个体的“人”。因此，本质同样只是到达“种”的层次，在具体事物中则不存在“本质”。这也是后来在基督教框架中引发“个体化”争论的关键所在。</w:t>
      </w:r>
    </w:p>
    <w:p>
      <w:pPr>
        <w:spacing w:line="360" w:lineRule="auto"/>
        <w:ind w:firstLine="480" w:firstLineChars="200"/>
        <w:jc w:val="both"/>
        <w:rPr>
          <w:rFonts w:ascii="宋体" w:hAnsi="宋体" w:eastAsia="宋体"/>
          <w:lang w:val="de-DE"/>
        </w:rPr>
      </w:pPr>
      <w:r>
        <w:rPr>
          <w:rFonts w:hint="eastAsia" w:ascii="宋体" w:hAnsi="宋体" w:eastAsia="宋体"/>
          <w:lang w:val="de-DE"/>
        </w:rPr>
        <w:t>亚里士多德对于本质的界定集中体现在其《后分析篇》第二卷的论述中。其中，亚里士多德将本质“设定为内在的、为主体所特有的因素构成的东西”</w:t>
      </w:r>
      <w:r>
        <w:rPr>
          <w:rStyle w:val="28"/>
          <w:rFonts w:ascii="宋体" w:hAnsi="宋体" w:eastAsia="宋体"/>
          <w:lang w:val="de-DE"/>
        </w:rPr>
        <w:footnoteReference w:id="16"/>
      </w:r>
      <w:r>
        <w:rPr>
          <w:rFonts w:hint="eastAsia" w:ascii="宋体" w:hAnsi="宋体" w:eastAsia="宋体"/>
          <w:lang w:val="de-DE"/>
        </w:rPr>
        <w:t>，本质就是“是什么”。此处之关键不在于他对本质的描述，而在于这一描述的前提</w:t>
      </w:r>
      <w:r>
        <w:rPr>
          <w:rFonts w:hint="eastAsia" w:ascii="宋体" w:hAnsi="宋体" w:eastAsia="宋体" w:cs="宋体"/>
          <w:lang w:val="de-DE"/>
        </w:rPr>
        <w:t>——</w:t>
      </w:r>
      <w:r>
        <w:rPr>
          <w:rFonts w:hint="eastAsia" w:ascii="宋体" w:hAnsi="宋体" w:eastAsia="宋体"/>
          <w:lang w:val="de-DE"/>
        </w:rPr>
        <w:t>“设定”。“设定”表明本质是一种在先的事物。那么，亚里士多德为什么又提出此定义呢？出于进行科学研究的目的，亚里士多德需要对其研究对象进行定义，即试图对事物的“是什么”进行描述，而其通常形式即读者所熟知的“属+种差”。此处我们需要区分两种“是什么”的用法：一种是对于具体事物而言的“是什么”，如“花是红色的”；另一种是追问“是什么”本身“是什么”，即寻求本质“是什么”。本部分讨论的是后一种用法。</w:t>
      </w:r>
    </w:p>
    <w:p>
      <w:pPr>
        <w:spacing w:line="360" w:lineRule="auto"/>
        <w:ind w:firstLine="480" w:firstLineChars="200"/>
        <w:jc w:val="both"/>
        <w:rPr>
          <w:rFonts w:ascii="宋体" w:hAnsi="宋体" w:eastAsia="宋体"/>
          <w:lang w:val="de-DE"/>
        </w:rPr>
      </w:pPr>
      <w:r>
        <w:rPr>
          <w:rFonts w:hint="eastAsia" w:ascii="宋体" w:hAnsi="宋体" w:eastAsia="宋体"/>
          <w:lang w:val="de-DE"/>
        </w:rPr>
        <w:t>在亚里士多德哲学中，“定义”不是为了确定的语言形式而进行的一种简化，相反，是一种对于事物本质的解释。</w:t>
      </w:r>
      <w:r>
        <w:rPr>
          <w:rStyle w:val="28"/>
          <w:rFonts w:ascii="宋体" w:hAnsi="宋体" w:eastAsia="宋体"/>
          <w:lang w:val="de-DE"/>
        </w:rPr>
        <w:footnoteReference w:id="17"/>
      </w:r>
      <w:r>
        <w:rPr>
          <w:rFonts w:hint="eastAsia" w:ascii="宋体" w:hAnsi="宋体" w:eastAsia="宋体"/>
          <w:lang w:val="de-DE"/>
        </w:rPr>
        <w:t>为了定义本质，亚里士多德进行了两个步骤的尝试。第一步，亚里士多德规定，下定义的前提是要首先证明事物是存在的。在一个定义中，定义的主词必须是存在的实体，否则便不能对“是什么”进行有意义的定义。</w:t>
      </w:r>
      <w:r>
        <w:rPr>
          <w:rStyle w:val="28"/>
          <w:rFonts w:ascii="宋体" w:hAnsi="宋体" w:eastAsia="宋体"/>
          <w:lang w:val="de-DE"/>
        </w:rPr>
        <w:footnoteReference w:id="18"/>
      </w:r>
      <w:r>
        <w:rPr>
          <w:rFonts w:hint="eastAsia" w:ascii="宋体" w:hAnsi="宋体" w:eastAsia="宋体"/>
          <w:lang w:val="de-DE"/>
        </w:rPr>
        <w:t>按照这一规定，本质，在亚里士多德这里是无法被定义的。因为本质是“是什么”，是一种“设定”，而我们无从证明“是什么”是否存在，所以无法利用定义的规则对其进行断定；第二步，亚里士多德做出一定程度上的妥协，即承认可以在不考虑前一点规定的情况下定义本质，但问题仍然存在：在定义过程中，本质是作为试图被表明的“是什么”而存在的。而在下定义时，“由于下定义者要说明事物是什么，要说明它的名称的意义，如果定义根本没有证明事物‘是什么’，这样一来，定义就必定是一个其意义与名称相同的表述，但这是荒</w:t>
      </w:r>
      <w:r>
        <w:rPr>
          <w:rFonts w:hint="eastAsia" w:ascii="宋体" w:hAnsi="宋体" w:eastAsia="宋体" w:cs="宋体"/>
          <w:lang w:val="de-DE"/>
        </w:rPr>
        <w:t>谬的。”（《后分析篇》. II.6, 92a26-30, 322~323）因此，使用定义来定义本质最终只会陷入“同语反复”的谬误之中，而无法使用定</w:t>
      </w:r>
      <w:r>
        <w:rPr>
          <w:rFonts w:hint="eastAsia" w:ascii="宋体" w:hAnsi="宋体" w:eastAsia="宋体"/>
          <w:lang w:val="de-DE"/>
        </w:rPr>
        <w:t>义对于“本质”进行任何有效的断定。所以，亚里士多德的结论就是，本质不可能被定义，而只能是一种“前—定义”的假设。</w:t>
      </w:r>
    </w:p>
    <w:p>
      <w:pPr>
        <w:spacing w:line="360" w:lineRule="auto"/>
        <w:ind w:firstLine="480" w:firstLineChars="200"/>
        <w:jc w:val="both"/>
        <w:rPr>
          <w:rFonts w:ascii="宋体" w:hAnsi="宋体" w:eastAsia="宋体" w:cs="宋体"/>
          <w:lang w:val="de-DE"/>
        </w:rPr>
      </w:pPr>
      <w:r>
        <w:rPr>
          <w:rFonts w:hint="eastAsia" w:ascii="宋体" w:hAnsi="宋体" w:eastAsia="宋体"/>
          <w:lang w:val="de-DE"/>
        </w:rPr>
        <w:t>既然无法定义本质，那能否使用三段论推出本质呢？亚里士多德论证到，本质只能作为一种“设定”被引入三段论，为推出包含“本质”这一词项的结论，这一假设在小前提中需</w:t>
      </w:r>
      <w:r>
        <w:rPr>
          <w:rFonts w:hint="eastAsia" w:ascii="宋体" w:hAnsi="宋体" w:eastAsia="宋体" w:cs="宋体"/>
          <w:lang w:val="de-DE"/>
        </w:rPr>
        <w:t>要再次被断定。但“因为三段论据以推论的前提（指大前提和小前提）总是具有整体或部分的关系”（《后分析篇》. II.6, 92a13-14, 320），而两次前提中的断定则不符合这一规定。因为本质自身不能作为一个种，所以在大前提和小前提之间不存在一种整体与部分的包含关系。所以，亚里士多德说：“本质一定不是呈现在三段论中的本质，而是与已经确定的前提不同的东西。”（《后分析篇》. II. 6, 92a14-15, 320）这一表述意味着，本质不可能被三段论推出，它本身具有同三段论自身的定义同等（甚至更为根本）的地位。</w:t>
      </w:r>
    </w:p>
    <w:p>
      <w:pPr>
        <w:spacing w:line="360" w:lineRule="auto"/>
        <w:ind w:firstLine="480" w:firstLineChars="200"/>
        <w:jc w:val="both"/>
        <w:rPr>
          <w:rFonts w:ascii="宋体" w:hAnsi="宋体" w:eastAsia="宋体"/>
          <w:lang w:val="de-DE"/>
        </w:rPr>
      </w:pPr>
      <w:r>
        <w:rPr>
          <w:rFonts w:hint="eastAsia" w:ascii="宋体" w:hAnsi="宋体" w:eastAsia="宋体" w:cs="宋体"/>
          <w:lang w:val="de-DE"/>
        </w:rPr>
        <w:t>亚里士多德认为，定义和三段论的使用过程恰恰表明，“是什么”是何以不可能被证明，进而，不可能被定义的。针对本质自身，他认为，“有些‘是什么’是存在，是本原，他们的存在必须要以另一种方式揭示。”（《后分析篇》. II.6, 93a24-25, 326）这即是说，亚里士多德这里的本质在某种程度上不可能被“实在地”把握，只有通过一种在先的“预设”才能被</w:t>
      </w:r>
      <w:r>
        <w:rPr>
          <w:rFonts w:hint="eastAsia" w:ascii="宋体" w:hAnsi="宋体" w:eastAsia="宋体"/>
          <w:lang w:val="de-DE"/>
        </w:rPr>
        <w:t>引入科学讨论的范畴。由于“本质”本身不是一种存在，所以只能作为一种“预设”而存在。</w:t>
      </w:r>
    </w:p>
    <w:p>
      <w:pPr>
        <w:spacing w:line="360" w:lineRule="auto"/>
        <w:ind w:firstLine="480" w:firstLineChars="200"/>
        <w:jc w:val="both"/>
        <w:rPr>
          <w:rFonts w:ascii="宋体" w:hAnsi="宋体" w:eastAsia="宋体"/>
          <w:lang w:val="de-DE"/>
        </w:rPr>
      </w:pPr>
      <w:r>
        <w:rPr>
          <w:rFonts w:hint="eastAsia" w:ascii="宋体" w:hAnsi="宋体" w:eastAsia="宋体"/>
          <w:lang w:val="de-DE"/>
        </w:rPr>
        <w:t>在转向对斯宾诺莎的考察前，读者应当注意，我们对于亚里士多德的考察并不意味着它与斯宾诺莎享有共同的理论进路。恰恰相反，斯宾诺莎认为，这种“本质”内在于个体事物。作为存在于神之中的个体，它所依赖的是神的创造，而非形质</w:t>
      </w:r>
      <w:r>
        <w:rPr>
          <w:rFonts w:eastAsia="宋体" w:asciiTheme="majorBidi" w:hAnsiTheme="majorBidi" w:cstheme="majorBidi"/>
          <w:lang w:val="de-DE"/>
        </w:rPr>
        <w:t>论（hylomorphism）意义上的</w:t>
      </w:r>
      <w:r>
        <w:rPr>
          <w:rFonts w:hint="eastAsia" w:ascii="宋体" w:hAnsi="宋体" w:eastAsia="宋体"/>
          <w:lang w:val="de-DE"/>
        </w:rPr>
        <w:t>生产。在明确这一关系后，我们就可以对于两者的“本质”概念作出较为清晰的划分，并对斯宾诺莎“本质”概念中的“前—力量”性质进行讨论。</w:t>
      </w:r>
      <w:r>
        <w:rPr>
          <w:rStyle w:val="28"/>
          <w:rFonts w:ascii="宋体" w:hAnsi="宋体" w:eastAsia="宋体"/>
          <w:lang w:val="de-DE"/>
        </w:rPr>
        <w:footnoteReference w:id="19"/>
      </w:r>
    </w:p>
    <w:p>
      <w:pPr>
        <w:pStyle w:val="3"/>
        <w:numPr>
          <w:ilvl w:val="0"/>
          <w:numId w:val="4"/>
        </w:numPr>
        <w:spacing w:line="360" w:lineRule="auto"/>
        <w:ind w:firstLine="0"/>
        <w:rPr>
          <w:rFonts w:ascii="黑体" w:hAnsi="黑体" w:eastAsia="黑体" w:cs="黑体"/>
          <w:b w:val="0"/>
          <w:bCs w:val="0"/>
          <w:sz w:val="28"/>
          <w:szCs w:val="28"/>
          <w:lang w:val="de-DE"/>
        </w:rPr>
      </w:pPr>
      <w:bookmarkStart w:id="19" w:name="_Toc38901541"/>
      <w:bookmarkStart w:id="20" w:name="_Toc38903782"/>
      <w:r>
        <w:rPr>
          <w:rFonts w:hint="eastAsia" w:ascii="黑体" w:hAnsi="黑体" w:eastAsia="黑体" w:cs="黑体"/>
          <w:b w:val="0"/>
          <w:bCs w:val="0"/>
          <w:sz w:val="28"/>
          <w:szCs w:val="28"/>
          <w:lang w:val="de-DE"/>
        </w:rPr>
        <w:t>本质作为“前—力量”？</w:t>
      </w:r>
      <w:r>
        <w:rPr>
          <w:rFonts w:hint="eastAsia" w:ascii="黑体" w:hAnsi="黑体" w:eastAsia="黑体" w:cs="黑体"/>
          <w:b w:val="0"/>
          <w:bCs w:val="0"/>
          <w:sz w:val="28"/>
          <w:szCs w:val="28"/>
          <w:vertAlign w:val="superscript"/>
          <w:lang w:val="de-DE"/>
        </w:rPr>
        <w:footnoteReference w:id="20"/>
      </w:r>
      <w:bookmarkEnd w:id="19"/>
      <w:bookmarkEnd w:id="20"/>
    </w:p>
    <w:p>
      <w:pPr>
        <w:spacing w:line="360" w:lineRule="auto"/>
        <w:ind w:firstLine="480" w:firstLineChars="200"/>
        <w:jc w:val="both"/>
        <w:rPr>
          <w:rFonts w:ascii="宋体" w:hAnsi="宋体" w:eastAsia="宋体"/>
          <w:lang w:val="de-DE"/>
        </w:rPr>
      </w:pPr>
      <w:r>
        <w:rPr>
          <w:rFonts w:hint="eastAsia" w:ascii="宋体" w:hAnsi="宋体" w:eastAsia="宋体"/>
          <w:lang w:val="de-DE"/>
        </w:rPr>
        <w:t>在《伦理学》第一部分的结尾，斯宾诺莎接连提出三个关于力量的关键性命题。在命题三十四中，斯宾诺莎指出：“神的力量就是神的本质本身。”</w:t>
      </w:r>
      <w:r>
        <w:rPr>
          <w:rStyle w:val="28"/>
          <w:rFonts w:ascii="宋体" w:hAnsi="宋体" w:eastAsia="宋体"/>
          <w:lang w:val="de-DE"/>
        </w:rPr>
        <w:footnoteReference w:id="21"/>
      </w:r>
      <w:r>
        <w:rPr>
          <w:rFonts w:hint="eastAsia" w:ascii="宋体" w:hAnsi="宋体" w:eastAsia="宋体"/>
          <w:lang w:val="de-DE"/>
        </w:rPr>
        <w:t>直接将“神的力量”与“神的本质”画上等号。这一表述的意义在于对神的本质进行“力量化”的处理。在斯宾诺莎那里，神是自因，同时祂也是一切存在的原因，所以神需要力量来维系自己的存在，维系万物的存在。因此，力量在神这里是“神自身与万物借以存在和动作的力量”。这种力量，就是神的属性，是神的存在所依赖的东西，所以这种力量就是神的本质。既然神的力量与其本质是等同的，我们不禁要问：“本质作为‘前—力量’”这一假设又意味着什么呢？</w:t>
      </w:r>
    </w:p>
    <w:p>
      <w:pPr>
        <w:spacing w:line="360" w:lineRule="auto"/>
        <w:ind w:firstLine="480" w:firstLineChars="200"/>
        <w:jc w:val="both"/>
        <w:rPr>
          <w:rFonts w:ascii="宋体" w:hAnsi="宋体" w:eastAsia="宋体"/>
          <w:lang w:val="de-DE"/>
        </w:rPr>
      </w:pPr>
      <w:r>
        <w:rPr>
          <w:rFonts w:hint="eastAsia" w:ascii="宋体" w:hAnsi="宋体" w:eastAsia="宋体"/>
          <w:lang w:val="de-DE"/>
        </w:rPr>
        <w:t>在《形而上学思想》中，斯宾诺莎给出对“本质”较为清晰的界定：“形式本质既不是靠自身的力量而存在，也不是被创造的，因为这两种情况都要以事物事实上存在为前提；但是事物只依赖那包含万有的神的本质；在这个意义上，我们同意这样一种说明：事物的本质是永恒的。”</w:t>
      </w:r>
      <w:r>
        <w:rPr>
          <w:rStyle w:val="28"/>
          <w:rFonts w:hint="eastAsia" w:ascii="宋体" w:hAnsi="宋体" w:eastAsia="宋体"/>
          <w:lang w:val="de-DE"/>
        </w:rPr>
        <w:footnoteReference w:id="22"/>
      </w:r>
      <w:r>
        <w:rPr>
          <w:rFonts w:hint="eastAsia" w:ascii="宋体" w:hAnsi="宋体" w:eastAsia="宋体"/>
          <w:lang w:val="de-DE"/>
        </w:rPr>
        <w:t>这一界定表明，“本质”是不可能作为存在而存在的，因此，在“本质作为‘前—力量’”的语境中，“前—力量”也是不可能作为存在而存在的。</w:t>
      </w:r>
    </w:p>
    <w:p>
      <w:pPr>
        <w:spacing w:line="360" w:lineRule="auto"/>
        <w:ind w:firstLine="480" w:firstLineChars="200"/>
        <w:jc w:val="both"/>
        <w:rPr>
          <w:rFonts w:ascii="宋体" w:hAnsi="宋体" w:eastAsia="宋体"/>
          <w:lang w:val="de-DE"/>
        </w:rPr>
      </w:pPr>
      <w:r>
        <w:rPr>
          <w:rFonts w:hint="eastAsia" w:ascii="宋体" w:hAnsi="宋体" w:eastAsia="宋体"/>
          <w:lang w:val="de-DE"/>
        </w:rPr>
        <w:t>为澄清存在与本质的关系，斯宾诺莎在答复耶勒斯（</w:t>
      </w:r>
      <w:r>
        <w:rPr>
          <w:rFonts w:eastAsia="宋体" w:asciiTheme="majorBidi" w:hAnsiTheme="majorBidi" w:cstheme="majorBidi"/>
          <w:lang w:val="de-DE"/>
        </w:rPr>
        <w:t>Jarig Jelles</w:t>
      </w:r>
      <w:r>
        <w:rPr>
          <w:rFonts w:hint="eastAsia" w:ascii="宋体" w:hAnsi="宋体" w:eastAsia="宋体"/>
          <w:lang w:val="de-DE"/>
        </w:rPr>
        <w:t>）的一封信中做出了具体说明：“一个事物就其存在而言，而不是就其本质而言，才能叫做单一的，或唯一的，因为我们除非把事物归到一个共同的类上去，否则是不能用数目来设想事物的。”</w:t>
      </w:r>
      <w:r>
        <w:rPr>
          <w:rStyle w:val="28"/>
          <w:rFonts w:ascii="宋体" w:hAnsi="宋体" w:eastAsia="宋体"/>
          <w:lang w:val="de-DE"/>
        </w:rPr>
        <w:footnoteReference w:id="23"/>
      </w:r>
      <w:r>
        <w:rPr>
          <w:rFonts w:hint="eastAsia" w:ascii="宋体" w:hAnsi="宋体" w:eastAsia="宋体"/>
          <w:lang w:val="de-DE"/>
        </w:rPr>
        <w:t>随后，斯宾诺莎举出关于“钱”这一称呼和一枚银元之间的区别来进一步明确本质和存在的分界。可以看出，斯宾诺莎所讲的存在是一种“实存”，而本质则不具有“实在性”。由此，我们可以提炼出一种本质主义的观点，即“本质先于存在”。由于“神的本质”等同于“神的力量”，所以力量也是先于存在的。因此，倘若标题中的假设成立的话，“前—力量”中的“力量”就一定不是这里所指的“力量”。</w:t>
      </w:r>
    </w:p>
    <w:p>
      <w:pPr>
        <w:spacing w:line="360" w:lineRule="auto"/>
        <w:ind w:firstLine="480" w:firstLineChars="200"/>
        <w:jc w:val="both"/>
        <w:rPr>
          <w:rFonts w:ascii="宋体" w:hAnsi="宋体" w:eastAsia="宋体"/>
          <w:lang w:val="de-DE"/>
        </w:rPr>
      </w:pPr>
      <w:r>
        <w:rPr>
          <w:rFonts w:hint="eastAsia" w:ascii="宋体" w:hAnsi="宋体" w:eastAsia="宋体"/>
          <w:lang w:val="de-DE"/>
        </w:rPr>
        <w:t>如果我们借助逻辑关系的相似性进行推论，就会发现，相对于本质而言，与这里所谓的“前—力量”中的“力量”处于相同位置的，就是“本质先于存在”中的“存在”。由于在本质的语境中，“力量”不可能与“存在”相等同，所以，笔者在这里将这种“力量”界定为一种“‘存在化’力量”，即在“存在”层面才生效的一种力量。而本质作为“前—力量”的一个更确切地表述也即，本质作为“前—</w:t>
      </w:r>
      <w:r>
        <w:rPr>
          <w:rFonts w:ascii="宋体" w:hAnsi="宋体" w:eastAsia="宋体"/>
          <w:lang w:val="de-DE"/>
        </w:rPr>
        <w:t>‘</w:t>
      </w:r>
      <w:r>
        <w:rPr>
          <w:rFonts w:hint="eastAsia" w:ascii="宋体" w:hAnsi="宋体" w:eastAsia="宋体"/>
          <w:lang w:val="de-DE"/>
        </w:rPr>
        <w:t>存在化</w:t>
      </w:r>
      <w:r>
        <w:rPr>
          <w:rFonts w:ascii="宋体" w:hAnsi="宋体" w:eastAsia="宋体"/>
          <w:lang w:val="de-DE"/>
        </w:rPr>
        <w:t>’</w:t>
      </w:r>
      <w:r>
        <w:rPr>
          <w:rFonts w:hint="eastAsia" w:ascii="宋体" w:hAnsi="宋体" w:eastAsia="宋体"/>
          <w:lang w:val="de-DE"/>
        </w:rPr>
        <w:t>力量”。</w:t>
      </w:r>
    </w:p>
    <w:p>
      <w:pPr>
        <w:spacing w:line="360" w:lineRule="auto"/>
        <w:ind w:firstLine="480" w:firstLineChars="200"/>
        <w:jc w:val="both"/>
        <w:rPr>
          <w:rFonts w:ascii="宋体" w:hAnsi="宋体" w:eastAsia="宋体"/>
          <w:lang w:val="de-DE"/>
        </w:rPr>
      </w:pPr>
      <w:r>
        <w:rPr>
          <w:rFonts w:hint="eastAsia" w:ascii="宋体" w:hAnsi="宋体" w:eastAsia="宋体"/>
          <w:lang w:val="de-DE"/>
        </w:rPr>
        <w:t>因此，当回到对于“前—力量”的探讨时，我们可以做出如下断定：“前”，是本质相对于作为存在之保证的“存在化”力量的“前”，是一种“本质先于存在”的“前”，而不是本质相对于力量本身的“前”。正如亚里士多德借助三段论推论“本质”一样，这种“存在化”的力量也只有在“存在”语境中才可以生效，与力量本身则没有直接联系。至此我们完成了本小节基础部分的论证，进而能够在同一层面探讨本质和力量。</w:t>
      </w:r>
    </w:p>
    <w:p>
      <w:pPr>
        <w:spacing w:line="360" w:lineRule="auto"/>
        <w:ind w:firstLine="480" w:firstLineChars="200"/>
        <w:jc w:val="both"/>
        <w:rPr>
          <w:rFonts w:ascii="宋体" w:hAnsi="宋体" w:eastAsia="宋体"/>
          <w:lang w:val="de-DE"/>
        </w:rPr>
      </w:pPr>
      <w:r>
        <w:rPr>
          <w:rFonts w:hint="eastAsia" w:ascii="宋体" w:hAnsi="宋体" w:eastAsia="宋体"/>
          <w:lang w:val="de-DE"/>
        </w:rPr>
        <w:t>对于斯宾诺莎来说，“神的力量”相对于神自身和万物而言，表现为一种“前—存在”。力量在神那里的功能体现为维系作为整体的神必然的、完满的存在。但这种维系存在的功能或作用对神而言并非神的本质，而是为了解释神的存在提出的一种“设定”，即作为无限实体的神，应当具有必然性，应当具有无限的圆满性。这种“设定”所导致的直接结论是“万物的本性皆从神而出”，神之外不存在任何实体。因此，与其说神的力量具有维系存在的功能，不如说神的力量是为了证明神和万物的存在方式而提出的一种设定。这种设定所关涉的就是神的存在的依据，即所谓“前—存在”的事物。恰恰在这种意义上，我们发现，神的力量和神的本质产生了某种一致性，两者都作为“设定”发挥着作用。在神之中，神的本质和神的力量都是为了作为整体的神的存在而做出的“设定”，因此两者应当是同一的。尽管从发生学的角度考察，神的本质更加侧重对于神“是什么”的规定，而神的力量更加侧重对于神“如何是其所是”的规定；但是，笔者认为，因为神本身是无限的，所以神不会被有限理智所认识的概念间的差异所间隔，因此，这种本体论和过程论的区别在神那里是同一的。至此，我们可以看到神的本质与神的力量是如何同一的。</w:t>
      </w:r>
      <w:r>
        <w:rPr>
          <w:rStyle w:val="28"/>
          <w:rFonts w:ascii="宋体" w:hAnsi="宋体" w:eastAsia="宋体"/>
          <w:lang w:val="de-DE"/>
        </w:rPr>
        <w:footnoteReference w:id="24"/>
      </w:r>
    </w:p>
    <w:p>
      <w:pPr>
        <w:spacing w:line="360" w:lineRule="auto"/>
        <w:ind w:firstLine="480" w:firstLineChars="200"/>
        <w:jc w:val="both"/>
        <w:rPr>
          <w:rFonts w:eastAsia="宋体" w:asciiTheme="majorBidi" w:hAnsiTheme="majorBidi" w:cstheme="majorBidi"/>
          <w:lang w:val="de-DE"/>
        </w:rPr>
      </w:pPr>
      <w:r>
        <w:rPr>
          <w:rFonts w:hint="eastAsia" w:ascii="宋体" w:hAnsi="宋体" w:eastAsia="宋体"/>
          <w:lang w:val="de-DE"/>
        </w:rPr>
        <w:t>但证明两者的同一并不意味着本部分考察任务的终结，我们不应当忽视斯宾诺莎在《伦理学》第一部分命题三十五中的表述，即“我们理解到一切在神的力量以内的东西必然存在”。在其证明中，斯宾诺莎指出：“凡是在神的力量以内的东西，（据前命题）都必定包括在神的本质</w:t>
      </w:r>
      <w:r>
        <w:rPr>
          <w:rFonts w:eastAsia="宋体" w:asciiTheme="majorBidi" w:hAnsiTheme="majorBidi" w:cstheme="majorBidi"/>
          <w:lang w:val="de-DE"/>
        </w:rPr>
        <w:t>之内，因而必然出于神的本质，所以必然存在。”</w:t>
      </w:r>
      <w:r>
        <w:rPr>
          <w:rStyle w:val="28"/>
          <w:rFonts w:eastAsia="宋体" w:asciiTheme="majorBidi" w:hAnsiTheme="majorBidi" w:cstheme="majorBidi"/>
          <w:lang w:val="de-DE"/>
        </w:rPr>
        <w:footnoteReference w:id="25"/>
      </w:r>
      <w:r>
        <w:rPr>
          <w:rFonts w:eastAsia="宋体" w:asciiTheme="majorBidi" w:hAnsiTheme="majorBidi" w:cstheme="majorBidi"/>
          <w:lang w:val="de-DE"/>
        </w:rPr>
        <w:t>这两段文本向我们表明，在本质与力量的关系中，我们仍有一个因素——必然性——尚待澄清。从论述中可以看出，斯宾诺莎的必然性是出于神的本质的，换言之，必然性与神的本质必然相关。</w:t>
      </w:r>
    </w:p>
    <w:p>
      <w:pPr>
        <w:spacing w:line="360" w:lineRule="auto"/>
        <w:ind w:firstLine="480" w:firstLineChars="200"/>
        <w:jc w:val="both"/>
        <w:rPr>
          <w:rFonts w:eastAsia="宋体" w:asciiTheme="majorBidi" w:hAnsiTheme="majorBidi" w:cstheme="majorBidi"/>
          <w:lang w:val="de-DE"/>
        </w:rPr>
      </w:pPr>
      <w:r>
        <w:rPr>
          <w:rFonts w:eastAsia="宋体" w:asciiTheme="majorBidi" w:hAnsiTheme="majorBidi" w:cstheme="majorBidi"/>
          <w:lang w:val="de-DE"/>
        </w:rPr>
        <w:t>根据斯宾诺莎文本的指引，我们首先</w:t>
      </w:r>
      <w:r>
        <w:rPr>
          <w:rFonts w:hint="eastAsia" w:eastAsia="宋体" w:asciiTheme="majorBidi" w:hAnsiTheme="majorBidi" w:cstheme="majorBidi"/>
          <w:lang w:val="de-DE"/>
        </w:rPr>
        <w:t>探讨</w:t>
      </w:r>
      <w:r>
        <w:rPr>
          <w:rFonts w:eastAsia="宋体" w:asciiTheme="majorBidi" w:hAnsiTheme="majorBidi" w:cstheme="majorBidi"/>
          <w:lang w:val="de-DE"/>
        </w:rPr>
        <w:t>其中最为基本的设定，即对于神的自因的设定：“自因，我理解为这样的东西，</w:t>
      </w:r>
      <w:r>
        <w:rPr>
          <w:rFonts w:hint="eastAsia" w:eastAsia="宋体" w:asciiTheme="majorBidi" w:hAnsiTheme="majorBidi" w:cstheme="majorBidi"/>
          <w:lang w:val="de-DE"/>
        </w:rPr>
        <w:t>它</w:t>
      </w:r>
      <w:r>
        <w:rPr>
          <w:rFonts w:eastAsia="宋体" w:asciiTheme="majorBidi" w:hAnsiTheme="majorBidi" w:cstheme="majorBidi"/>
          <w:lang w:val="de-DE"/>
        </w:rPr>
        <w:t>的本质（essentia）即包含存在（existentia），或者它的本性只能设想为存在着。”</w:t>
      </w:r>
      <w:r>
        <w:rPr>
          <w:rStyle w:val="28"/>
          <w:rFonts w:eastAsia="宋体" w:asciiTheme="majorBidi" w:hAnsiTheme="majorBidi" w:cstheme="majorBidi"/>
          <w:lang w:val="de-DE"/>
        </w:rPr>
        <w:footnoteReference w:id="26"/>
      </w:r>
      <w:r>
        <w:rPr>
          <w:rFonts w:eastAsia="宋体" w:asciiTheme="majorBidi" w:hAnsiTheme="majorBidi" w:cstheme="majorBidi"/>
          <w:lang w:val="de-DE"/>
        </w:rPr>
        <w:t>这里，作为自因的神由于其本质之中包含存在，从而获得了最基本的必然性——自身存在的必然性，即神的自我规定性。这种由自身决定的必然性在斯宾诺莎那里被称为“自由（libera）”。而对于其必然性不在自身之内的其他事物，斯宾诺莎就将其称为“必然（necessaria）”。应当注意，必然是一种状态，必然性是一种属性。</w:t>
      </w:r>
    </w:p>
    <w:p>
      <w:pPr>
        <w:spacing w:line="360" w:lineRule="auto"/>
        <w:ind w:firstLine="480" w:firstLineChars="200"/>
        <w:jc w:val="both"/>
        <w:rPr>
          <w:rFonts w:ascii="宋体" w:hAnsi="宋体" w:eastAsia="宋体"/>
          <w:lang w:val="de-DE"/>
        </w:rPr>
      </w:pPr>
      <w:r>
        <w:rPr>
          <w:rFonts w:eastAsia="宋体" w:asciiTheme="majorBidi" w:hAnsiTheme="majorBidi" w:cstheme="majorBidi"/>
          <w:lang w:val="de-DE"/>
        </w:rPr>
        <w:t>进一步，具有必然性的事物就必然存在</w:t>
      </w:r>
      <w:r>
        <w:rPr>
          <w:rFonts w:hint="eastAsia" w:eastAsia="宋体" w:asciiTheme="majorBidi" w:hAnsiTheme="majorBidi" w:cstheme="majorBidi"/>
          <w:lang w:val="de-DE"/>
        </w:rPr>
        <w:t>。</w:t>
      </w:r>
      <w:r>
        <w:rPr>
          <w:rFonts w:eastAsia="宋体" w:asciiTheme="majorBidi" w:hAnsiTheme="majorBidi" w:cstheme="majorBidi"/>
          <w:lang w:val="de-DE"/>
        </w:rPr>
        <w:t>如</w:t>
      </w:r>
      <w:r>
        <w:rPr>
          <w:rFonts w:hint="eastAsia" w:eastAsia="宋体" w:asciiTheme="majorBidi" w:hAnsiTheme="majorBidi" w:cstheme="majorBidi"/>
          <w:lang w:val="de-DE"/>
        </w:rPr>
        <w:t>，</w:t>
      </w:r>
      <w:r>
        <w:rPr>
          <w:rFonts w:eastAsia="宋体" w:asciiTheme="majorBidi" w:hAnsiTheme="majorBidi" w:cstheme="majorBidi"/>
          <w:lang w:val="de-DE"/>
        </w:rPr>
        <w:t>神的本质包含必然性，所以祂是绝对必然的存在</w:t>
      </w:r>
      <w:r>
        <w:rPr>
          <w:rFonts w:hint="eastAsia" w:eastAsia="宋体" w:asciiTheme="majorBidi" w:hAnsiTheme="majorBidi" w:cstheme="majorBidi"/>
          <w:lang w:val="de-DE"/>
        </w:rPr>
        <w:t>；</w:t>
      </w:r>
      <w:r>
        <w:rPr>
          <w:rFonts w:eastAsia="宋体" w:asciiTheme="majorBidi" w:hAnsiTheme="majorBidi" w:cstheme="majorBidi"/>
          <w:lang w:val="de-DE"/>
        </w:rPr>
        <w:t>作为有限事物的人则在其本质中不包含存在，因此不是必然存在。对于本质自身来说，本质表现为一种“无规定性”，也就是斯宾诺莎的“规定即否定”（Omnis determinatio est negatio）</w:t>
      </w:r>
      <w:r>
        <w:rPr>
          <w:rStyle w:val="28"/>
          <w:rFonts w:eastAsia="宋体" w:asciiTheme="majorBidi" w:hAnsiTheme="majorBidi" w:cstheme="majorBidi"/>
          <w:lang w:val="de-DE"/>
        </w:rPr>
        <w:footnoteReference w:id="27"/>
      </w:r>
      <w:r>
        <w:rPr>
          <w:rFonts w:eastAsia="宋体" w:asciiTheme="majorBidi" w:hAnsiTheme="majorBidi" w:cstheme="majorBidi"/>
          <w:lang w:val="de-DE"/>
        </w:rPr>
        <w:t>。因此，本</w:t>
      </w:r>
      <w:r>
        <w:rPr>
          <w:rFonts w:hint="eastAsia" w:ascii="宋体" w:hAnsi="宋体" w:eastAsia="宋体"/>
          <w:lang w:val="de-DE"/>
        </w:rPr>
        <w:t>质是一种完全肯定的事物。对于本质主义哲学来说，本质的无规定性是一种除必然性外的无规定性，必然性则是本质之为本质的保证。</w:t>
      </w:r>
    </w:p>
    <w:p>
      <w:pPr>
        <w:spacing w:line="360" w:lineRule="auto"/>
        <w:ind w:firstLine="480" w:firstLineChars="200"/>
        <w:jc w:val="both"/>
        <w:rPr>
          <w:rFonts w:ascii="宋体" w:hAnsi="宋体" w:eastAsia="宋体" w:cstheme="majorBidi"/>
          <w:lang w:val="de-DE"/>
        </w:rPr>
      </w:pPr>
      <w:r>
        <w:rPr>
          <w:rFonts w:hint="eastAsia" w:ascii="宋体" w:hAnsi="宋体" w:eastAsia="宋体"/>
          <w:lang w:val="de-DE"/>
        </w:rPr>
        <w:t>必然性作为一种“只表示神的存在的样式”</w:t>
      </w:r>
      <w:r>
        <w:rPr>
          <w:rStyle w:val="28"/>
          <w:rFonts w:ascii="宋体" w:hAnsi="宋体" w:eastAsia="宋体"/>
          <w:lang w:val="de-DE"/>
        </w:rPr>
        <w:footnoteReference w:id="28"/>
      </w:r>
      <w:r>
        <w:rPr>
          <w:rFonts w:hint="eastAsia" w:ascii="宋体" w:hAnsi="宋体" w:eastAsia="宋体"/>
          <w:lang w:val="de-DE"/>
        </w:rPr>
        <w:t>，其传递过程可以近似地看做一种“赋值”行为。如果我</w:t>
      </w:r>
      <w:r>
        <w:rPr>
          <w:rFonts w:ascii="宋体" w:hAnsi="宋体" w:eastAsia="宋体" w:cstheme="majorBidi"/>
          <w:lang w:val="de-DE"/>
        </w:rPr>
        <w:t>们将必然性假设为范式X的话，那么“X=事物A”就意味着必然性被赋予事物A。由于只有实体及其直接产生的事物才具有必然性，所以被赋予必然性的事物A就是实体或其直接产生的事物，</w:t>
      </w:r>
      <w:r>
        <w:rPr>
          <w:rFonts w:hint="eastAsia" w:ascii="宋体" w:hAnsi="宋体" w:eastAsia="宋体" w:cstheme="majorBidi"/>
          <w:lang w:val="de-DE"/>
        </w:rPr>
        <w:t>事物</w:t>
      </w:r>
      <w:r>
        <w:rPr>
          <w:rFonts w:hint="eastAsia" w:ascii="宋体" w:hAnsi="宋体" w:eastAsia="宋体" w:cstheme="majorBidi"/>
        </w:rPr>
        <w:t>A的</w:t>
      </w:r>
      <w:r>
        <w:rPr>
          <w:rFonts w:ascii="宋体" w:hAnsi="宋体" w:eastAsia="宋体" w:cstheme="majorBidi"/>
          <w:lang w:val="de-DE"/>
        </w:rPr>
        <w:t>存在</w:t>
      </w:r>
      <w:r>
        <w:rPr>
          <w:rFonts w:hint="eastAsia" w:ascii="宋体" w:hAnsi="宋体" w:eastAsia="宋体" w:cstheme="majorBidi"/>
          <w:lang w:val="de-DE"/>
        </w:rPr>
        <w:t>也</w:t>
      </w:r>
      <w:r>
        <w:rPr>
          <w:rFonts w:ascii="宋体" w:hAnsi="宋体" w:eastAsia="宋体" w:cstheme="majorBidi"/>
          <w:lang w:val="de-DE"/>
        </w:rPr>
        <w:t>必然地被包含在事物A的本质中。</w:t>
      </w:r>
      <w:r>
        <w:rPr>
          <w:rStyle w:val="28"/>
          <w:rFonts w:eastAsia="宋体" w:asciiTheme="majorBidi" w:hAnsiTheme="majorBidi" w:cstheme="majorBidi"/>
          <w:lang w:val="de-DE"/>
        </w:rPr>
        <w:footnoteReference w:id="29"/>
      </w:r>
      <w:r>
        <w:rPr>
          <w:rFonts w:ascii="宋体" w:hAnsi="宋体" w:eastAsia="宋体" w:cstheme="majorBidi"/>
          <w:lang w:val="de-DE"/>
        </w:rPr>
        <w:t>与必然性相对的偶然性则只能存在于有限事物的思想样式中，即一件事情的发生对于有限理智来说是偶然的，但对于神来说却是必然的，是神的意志达成了这一切。</w:t>
      </w:r>
    </w:p>
    <w:p>
      <w:pPr>
        <w:spacing w:line="360" w:lineRule="auto"/>
        <w:ind w:firstLine="480" w:firstLineChars="200"/>
        <w:jc w:val="both"/>
        <w:rPr>
          <w:rFonts w:ascii="宋体" w:hAnsi="宋体" w:eastAsia="宋体"/>
          <w:lang w:val="de-DE"/>
        </w:rPr>
      </w:pPr>
      <w:r>
        <w:rPr>
          <w:rFonts w:hint="eastAsia" w:ascii="宋体" w:hAnsi="宋体" w:eastAsia="宋体"/>
          <w:lang w:val="de-DE"/>
        </w:rPr>
        <w:t>至此，对于本质和力量之间关系的考察基本完成。但即使在进行如此多的澄清之后，仍可以发觉一种紧张关系，即“存在化”的力量与作为本质的力量之间的张力。为了更加清晰地理解这个问题，我们将转向对于存在和力量之间关系的讨论。</w:t>
      </w:r>
    </w:p>
    <w:p>
      <w:pPr>
        <w:pStyle w:val="2"/>
        <w:numPr>
          <w:ilvl w:val="0"/>
          <w:numId w:val="1"/>
        </w:numPr>
        <w:spacing w:line="360" w:lineRule="auto"/>
        <w:rPr>
          <w:rFonts w:ascii="黑体" w:hAnsi="黑体" w:eastAsia="黑体" w:cs="黑体"/>
          <w:b w:val="0"/>
          <w:bCs w:val="0"/>
          <w:szCs w:val="30"/>
        </w:rPr>
      </w:pPr>
      <w:r>
        <w:br w:type="page"/>
      </w:r>
      <w:bookmarkStart w:id="21" w:name="_Toc38901542"/>
      <w:bookmarkStart w:id="22" w:name="_Toc38903783"/>
      <w:r>
        <w:rPr>
          <w:rFonts w:hint="eastAsia" w:ascii="黑体" w:hAnsi="黑体" w:eastAsia="黑体" w:cs="黑体"/>
          <w:b w:val="0"/>
          <w:bCs w:val="0"/>
          <w:szCs w:val="30"/>
        </w:rPr>
        <w:t>作为存在的力量</w:t>
      </w:r>
      <w:bookmarkEnd w:id="21"/>
      <w:bookmarkEnd w:id="22"/>
    </w:p>
    <w:p>
      <w:pPr>
        <w:spacing w:line="360" w:lineRule="auto"/>
        <w:ind w:firstLine="480" w:firstLineChars="200"/>
        <w:jc w:val="both"/>
        <w:rPr>
          <w:rFonts w:ascii="宋体" w:hAnsi="宋体" w:eastAsia="宋体"/>
          <w:lang w:val="de-DE"/>
        </w:rPr>
      </w:pPr>
      <w:r>
        <w:rPr>
          <w:rFonts w:hint="eastAsia" w:ascii="宋体" w:hAnsi="宋体" w:eastAsia="宋体"/>
          <w:lang w:val="de-DE"/>
        </w:rPr>
        <w:t>在上一部分的最后，通过推论，我们意识到“存在化”力量与本质的力量之间的紧张关系。为了更好地解释这种关系，我们就需要探究存在这里有没有一种独立存在的力量。需要注意，所谓的“存在化”力量是在“本质</w:t>
      </w:r>
      <w:r>
        <w:rPr>
          <w:rFonts w:ascii="宋体" w:hAnsi="宋体" w:eastAsia="宋体"/>
          <w:lang w:val="de-DE"/>
        </w:rPr>
        <w:t>—</w:t>
      </w:r>
      <w:r>
        <w:rPr>
          <w:rFonts w:hint="eastAsia" w:ascii="宋体" w:hAnsi="宋体" w:eastAsia="宋体"/>
          <w:lang w:val="de-DE"/>
        </w:rPr>
        <w:t>力量”的语境中使用的，而存在的力量则是在“存在—力量”语境中的表述。因此这种存在的力量即是相对于本质而言的“存在化”力量。在上述界定的基础上，我们不禁要追问这样一个问题：如果说存在一种“存在的力量”，它是何以可能的呢？</w:t>
      </w:r>
    </w:p>
    <w:p>
      <w:pPr>
        <w:spacing w:line="360" w:lineRule="auto"/>
        <w:ind w:firstLine="480" w:firstLineChars="200"/>
        <w:jc w:val="both"/>
        <w:rPr>
          <w:rFonts w:ascii="宋体" w:hAnsi="宋体" w:eastAsia="宋体"/>
          <w:lang w:val="de-DE"/>
        </w:rPr>
      </w:pPr>
      <w:r>
        <w:rPr>
          <w:rFonts w:hint="eastAsia" w:ascii="宋体" w:hAnsi="宋体" w:eastAsia="宋体"/>
          <w:lang w:val="de-DE"/>
        </w:rPr>
        <w:t>为了解决这一问题，我们首先要对存在的种类进行探究。在《形而上学思想》中，斯宾诺莎区分了四种存在：本质的存在</w:t>
      </w:r>
      <w:r>
        <w:rPr>
          <w:rFonts w:eastAsia="宋体" w:asciiTheme="majorBidi" w:hAnsiTheme="majorBidi" w:cstheme="majorBidi"/>
          <w:lang w:val="de-DE"/>
        </w:rPr>
        <w:t>（esse）</w:t>
      </w:r>
      <w:r>
        <w:rPr>
          <w:rFonts w:hint="eastAsia" w:ascii="宋体" w:hAnsi="宋体" w:eastAsia="宋体"/>
          <w:lang w:val="de-DE"/>
        </w:rPr>
        <w:t>、观念的存在、潜能的存在和实存的存在。我们将考察其中两种存在——本质的存在和潜能的存在。本质的存在指的是“一种样式”，由于它，被创造的事物才能被包含在神的属性之中。这就是本质在存在层面的表现，本质转化为一种“样式的存在”而不再是本质自身。这种样式的作用在于被创造的事物能够像神那样存在，即在其本质中存在。</w:t>
      </w:r>
      <w:r>
        <w:rPr>
          <w:rStyle w:val="28"/>
          <w:rFonts w:hint="eastAsia" w:ascii="宋体" w:hAnsi="宋体" w:eastAsia="宋体"/>
          <w:lang w:val="de-DE"/>
        </w:rPr>
        <w:footnoteReference w:id="30"/>
      </w:r>
      <w:r>
        <w:rPr>
          <w:rFonts w:hint="eastAsia" w:ascii="宋体" w:hAnsi="宋体" w:eastAsia="宋体"/>
          <w:lang w:val="de-DE"/>
        </w:rPr>
        <w:t>而存在的本质只能是存在自身，而不能是别的什么东西了。</w:t>
      </w:r>
    </w:p>
    <w:p>
      <w:pPr>
        <w:spacing w:line="360" w:lineRule="auto"/>
        <w:ind w:firstLine="480" w:firstLineChars="200"/>
        <w:jc w:val="both"/>
        <w:rPr>
          <w:rFonts w:ascii="宋体" w:hAnsi="宋体" w:eastAsia="宋体"/>
          <w:lang w:val="de-DE"/>
        </w:rPr>
      </w:pPr>
      <w:r>
        <w:rPr>
          <w:rFonts w:hint="eastAsia" w:ascii="宋体" w:hAnsi="宋体" w:eastAsia="宋体"/>
          <w:lang w:val="de-DE"/>
        </w:rPr>
        <w:t>潜能的存在只是指神的力量，“凭借这种力量，神就能根据其绝对自由的意志创造一切尚不存在的事物”</w:t>
      </w:r>
      <w:r>
        <w:rPr>
          <w:rStyle w:val="28"/>
          <w:rFonts w:ascii="宋体" w:hAnsi="宋体" w:eastAsia="宋体"/>
          <w:lang w:val="de-DE"/>
        </w:rPr>
        <w:footnoteReference w:id="31"/>
      </w:r>
      <w:r>
        <w:rPr>
          <w:rFonts w:hint="eastAsia" w:ascii="宋体" w:hAnsi="宋体" w:eastAsia="宋体"/>
          <w:lang w:val="de-DE"/>
        </w:rPr>
        <w:t>。依赖神的意志的创造就是力量在存在层面展开的途径。这种创造在斯宾诺莎那里被称为“致动因”，一切事物的本质及其存在皆依赖于这一“致动因”。</w:t>
      </w:r>
      <w:r>
        <w:rPr>
          <w:rStyle w:val="28"/>
          <w:rFonts w:ascii="宋体" w:hAnsi="宋体" w:eastAsia="宋体"/>
          <w:lang w:val="de-DE"/>
        </w:rPr>
        <w:footnoteReference w:id="32"/>
      </w:r>
      <w:r>
        <w:rPr>
          <w:rFonts w:hint="eastAsia" w:ascii="宋体" w:hAnsi="宋体" w:eastAsia="宋体"/>
          <w:lang w:val="de-DE"/>
        </w:rPr>
        <w:t>因此，我们需要考察，力量是如何逐步被斯宾诺莎引入其存在论的。</w:t>
      </w:r>
    </w:p>
    <w:p>
      <w:pPr>
        <w:pStyle w:val="3"/>
        <w:numPr>
          <w:ilvl w:val="0"/>
          <w:numId w:val="5"/>
        </w:numPr>
        <w:spacing w:line="360" w:lineRule="auto"/>
        <w:ind w:firstLine="0"/>
        <w:rPr>
          <w:rFonts w:ascii="黑体" w:hAnsi="黑体" w:eastAsia="黑体" w:cs="黑体"/>
          <w:b w:val="0"/>
          <w:bCs w:val="0"/>
          <w:sz w:val="28"/>
          <w:szCs w:val="28"/>
          <w:lang w:val="de-DE"/>
        </w:rPr>
      </w:pPr>
      <w:bookmarkStart w:id="23" w:name="_Toc38903784"/>
      <w:bookmarkStart w:id="24" w:name="_Toc38901543"/>
      <w:r>
        <w:rPr>
          <w:rFonts w:hint="eastAsia" w:ascii="黑体" w:hAnsi="黑体" w:eastAsia="黑体" w:cs="黑体"/>
          <w:b w:val="0"/>
          <w:bCs w:val="0"/>
          <w:sz w:val="28"/>
          <w:szCs w:val="28"/>
          <w:lang w:val="de-DE"/>
        </w:rPr>
        <w:t>“前—斯宾诺莎”的存在论证明</w:t>
      </w:r>
      <w:bookmarkEnd w:id="23"/>
      <w:bookmarkEnd w:id="24"/>
    </w:p>
    <w:p>
      <w:pPr>
        <w:spacing w:line="360" w:lineRule="auto"/>
        <w:ind w:firstLine="480" w:firstLineChars="200"/>
        <w:jc w:val="both"/>
        <w:rPr>
          <w:rFonts w:ascii="宋体" w:hAnsi="宋体" w:eastAsia="宋体"/>
          <w:lang w:val="de-DE"/>
        </w:rPr>
      </w:pPr>
      <w:r>
        <w:rPr>
          <w:rFonts w:hint="eastAsia" w:ascii="宋体" w:hAnsi="宋体" w:eastAsia="宋体"/>
          <w:lang w:val="de-DE"/>
        </w:rPr>
        <w:t>在斯宾诺莎及其之前的时代，“上帝是否存在？”几乎是唯一被关注的存在问题。我们并不急于去论证斯宾诺莎的存在论证明，而是要向后退一步，看看在“前</w:t>
      </w:r>
      <w:r>
        <w:rPr>
          <w:rFonts w:ascii="宋体" w:hAnsi="宋体" w:eastAsia="宋体"/>
          <w:lang w:val="de-DE"/>
        </w:rPr>
        <w:t>—</w:t>
      </w:r>
      <w:r>
        <w:rPr>
          <w:rFonts w:hint="eastAsia" w:ascii="宋体" w:hAnsi="宋体" w:eastAsia="宋体"/>
          <w:lang w:val="de-DE"/>
        </w:rPr>
        <w:t>斯宾诺莎”哲学家那里，上帝的本体论证明是如何实现的。</w:t>
      </w:r>
    </w:p>
    <w:p>
      <w:pPr>
        <w:spacing w:line="360" w:lineRule="auto"/>
        <w:ind w:firstLine="480" w:firstLineChars="200"/>
        <w:jc w:val="both"/>
        <w:rPr>
          <w:rFonts w:ascii="宋体" w:hAnsi="宋体" w:eastAsia="宋体"/>
          <w:lang w:val="de-DE"/>
        </w:rPr>
      </w:pPr>
      <w:r>
        <w:rPr>
          <w:rFonts w:hint="eastAsia" w:ascii="宋体" w:hAnsi="宋体" w:eastAsia="宋体"/>
          <w:lang w:val="de-DE"/>
        </w:rPr>
        <w:t>中世纪最为流行的一种证明方式是托马斯主义的“异义性”神学。它主要依赖于对上帝“异义性”的谓述，来表现上帝的全能与上帝的无限性，其中的一个关键就是托马斯</w:t>
      </w:r>
      <w:r>
        <w:rPr>
          <w:rFonts w:hint="eastAsia" w:ascii="宋体" w:hAnsi="宋体" w:eastAsia="宋体"/>
        </w:rPr>
        <w:t>·</w:t>
      </w:r>
      <w:r>
        <w:rPr>
          <w:rFonts w:hint="eastAsia" w:ascii="宋体" w:hAnsi="宋体" w:eastAsia="宋体"/>
          <w:lang w:val="de-DE"/>
        </w:rPr>
        <w:t>阿奎那对于“存在的类比（</w:t>
      </w:r>
      <w:r>
        <w:rPr>
          <w:rFonts w:eastAsia="宋体"/>
        </w:rPr>
        <w:t>Analogy of Being</w:t>
      </w:r>
      <w:r>
        <w:rPr>
          <w:rFonts w:hint="eastAsia" w:ascii="宋体" w:hAnsi="宋体" w:eastAsia="宋体"/>
          <w:lang w:val="de-DE"/>
        </w:rPr>
        <w:t>）”理论的应用。</w:t>
      </w:r>
      <w:r>
        <w:rPr>
          <w:rStyle w:val="28"/>
          <w:rFonts w:ascii="宋体" w:hAnsi="宋体" w:eastAsia="宋体"/>
          <w:lang w:val="de-DE"/>
        </w:rPr>
        <w:footnoteReference w:id="33"/>
      </w:r>
      <w:r>
        <w:rPr>
          <w:rFonts w:hint="eastAsia" w:ascii="宋体" w:hAnsi="宋体" w:eastAsia="宋体"/>
          <w:lang w:val="de-DE"/>
        </w:rPr>
        <w:t>其目的在于强调上帝与人之间相隔着无限的距离。但这种论述在中世纪晚期遭到了否定，并导致了两种思想倾向：一种是，如果仍然承认阿奎那主张的“神人异质性”，那么我们对于上帝的知识就会少的可怜，从而表现为一种否定性的本体论证明；另一种倾向，则强调上帝与世界之间存在许多共性，甚至承认上帝与世界的同质性，从而表现为一种肯定性的本体论证明，这样才能从上帝和世界之中获得肯定性的知识。前者更多地被中世纪晚期的唯名论者所接受，后者则为十七世纪以来的哲学家所接受。</w:t>
      </w:r>
    </w:p>
    <w:p>
      <w:pPr>
        <w:spacing w:line="360" w:lineRule="auto"/>
        <w:ind w:firstLine="480" w:firstLineChars="200"/>
        <w:jc w:val="both"/>
        <w:rPr>
          <w:rFonts w:ascii="宋体" w:hAnsi="宋体" w:eastAsia="宋体"/>
          <w:lang w:val="de-DE"/>
        </w:rPr>
      </w:pPr>
      <w:r>
        <w:rPr>
          <w:rFonts w:hint="eastAsia" w:ascii="宋体" w:hAnsi="宋体" w:eastAsia="宋体"/>
          <w:lang w:val="de-DE"/>
        </w:rPr>
        <w:t>这种分歧起源于中世纪晚期到近代早期的思想变革，其关涉的一个重要领域就是科学革命。现代自然科学本质上是一种追求精确的单义性科学。为了推进自然科学的研究，在</w:t>
      </w:r>
      <w:r>
        <w:rPr>
          <w:rFonts w:ascii="宋体" w:hAnsi="宋体" w:eastAsia="宋体" w:cstheme="majorBidi"/>
          <w:lang w:val="de-DE"/>
        </w:rPr>
        <w:t>思</w:t>
      </w:r>
      <w:r>
        <w:rPr>
          <w:rFonts w:eastAsia="宋体" w:asciiTheme="majorBidi" w:hAnsiTheme="majorBidi" w:cstheme="majorBidi"/>
          <w:lang w:val="de-DE"/>
        </w:rPr>
        <w:t>想层面形成了两股主要的思想潮流，即“追求单义性”和“追求同质化”：前者追求在名称上（a parte nominis）的简洁和连贯，后者则追求在事物上(a parte rei)的简洁和</w:t>
      </w:r>
      <w:r>
        <w:rPr>
          <w:rFonts w:ascii="宋体" w:hAnsi="宋体" w:eastAsia="宋体" w:cstheme="majorBidi"/>
          <w:lang w:val="de-DE"/>
        </w:rPr>
        <w:t>连</w:t>
      </w:r>
      <w:r>
        <w:rPr>
          <w:rFonts w:hint="eastAsia" w:ascii="宋体" w:hAnsi="宋体" w:eastAsia="宋体"/>
          <w:lang w:val="de-DE"/>
        </w:rPr>
        <w:t>贯。</w:t>
      </w:r>
      <w:r>
        <w:rPr>
          <w:rStyle w:val="28"/>
          <w:rFonts w:ascii="宋体" w:hAnsi="宋体" w:eastAsia="宋体"/>
          <w:lang w:val="de-DE"/>
        </w:rPr>
        <w:footnoteReference w:id="34"/>
      </w:r>
      <w:r>
        <w:rPr>
          <w:rFonts w:hint="eastAsia" w:ascii="宋体" w:hAnsi="宋体" w:eastAsia="宋体"/>
          <w:lang w:val="de-DE"/>
        </w:rPr>
        <w:t>如果用福柯的话来说，十七世纪的科学将自然中的“相似性”转换成了“同一与差异之间的精确的对比”。因此，在这种背景下，上帝存在的证明方式发生了断裂。十七世纪的哲学家违背了整个中世纪“规避本质”的传统。在这一点上较为突出的是莫尔和斯宾诺莎，他们开启了对于上帝本质的哲学化讨论。</w:t>
      </w:r>
      <w:r>
        <w:rPr>
          <w:rStyle w:val="28"/>
          <w:rFonts w:ascii="宋体" w:hAnsi="宋体" w:eastAsia="宋体"/>
          <w:lang w:val="de-DE"/>
        </w:rPr>
        <w:footnoteReference w:id="35"/>
      </w:r>
      <w:r>
        <w:rPr>
          <w:rFonts w:hint="eastAsia" w:ascii="宋体" w:hAnsi="宋体" w:eastAsia="宋体"/>
          <w:lang w:val="de-DE"/>
        </w:rPr>
        <w:t>除此之外，持有相同观点的还有笛卡尔、马勒伯朗士以及莱布尼兹等人。在计量学派和几何学思维的影响下，对于“单义性”和“同质化”的追求就转换为了对于“简洁和连贯”的追求。如果从这两股潮流的主要特征入手，可以发现将这些主要特征完美接洽起来的就是笛卡尔。因此，我们将对笛卡尔关于上帝存在的本体论证明进行考察。</w:t>
      </w:r>
    </w:p>
    <w:p>
      <w:pPr>
        <w:spacing w:line="360" w:lineRule="auto"/>
        <w:ind w:firstLine="480" w:firstLineChars="200"/>
        <w:jc w:val="both"/>
        <w:rPr>
          <w:rFonts w:ascii="宋体" w:hAnsi="宋体" w:eastAsia="宋体"/>
          <w:lang w:val="de-DE"/>
        </w:rPr>
      </w:pPr>
      <w:r>
        <w:rPr>
          <w:rFonts w:hint="eastAsia" w:ascii="宋体" w:hAnsi="宋体" w:eastAsia="宋体"/>
          <w:lang w:val="de-DE"/>
        </w:rPr>
        <w:t>笛卡尔的上帝存在证明具有“完满性”和“清楚分明”这两个特征。这里，我们将以《第</w:t>
      </w:r>
      <w:r>
        <w:rPr>
          <w:rFonts w:hint="eastAsia" w:ascii="宋体" w:hAnsi="宋体" w:eastAsia="宋体" w:cs="宋体"/>
          <w:lang w:val="de-DE"/>
        </w:rPr>
        <w:t>一哲学沉思集》为主要文本，对其上帝证明进行梳理和重构。在“第三个沉思”中，笛卡尔提出，我们在理解外在世界的时候能够意识到，总有一种“不以我的意志为转移”的观念的存在，如“火是热的”，“三角形的内角和定理”，“1+1=2”等等。如果经过经验的观察和理智的思索，我们就会惊讶地发现，这种观念不是如“我思”一样通过一种确定性的方法产生的，而是通过一种我们的理智无从知晓的方式“卓越地”包含在我们内心之中的。因此，我</w:t>
      </w:r>
      <w:r>
        <w:rPr>
          <w:rFonts w:hint="eastAsia" w:ascii="宋体" w:hAnsi="宋体" w:eastAsia="宋体"/>
          <w:lang w:val="de-DE"/>
        </w:rPr>
        <w:t>们针对同一事物可以获得两种不同的观念。这使得笛卡尔相信，在“我”之外一定存在某种事物将这种观念传递到我的思想当中，而这种事物一定是一种比我更为完善的事物。因此，笛卡尔指出，在心灵中存在一个“至高无上的、永恒的、无限的、不变的、全知的、全能的、他自己以外的一切事物的普遍创造者的上帝”的观念。</w:t>
      </w:r>
      <w:r>
        <w:rPr>
          <w:rStyle w:val="28"/>
          <w:rFonts w:ascii="宋体" w:hAnsi="宋体" w:eastAsia="宋体"/>
          <w:lang w:val="de-DE"/>
        </w:rPr>
        <w:footnoteReference w:id="36"/>
      </w:r>
      <w:r>
        <w:rPr>
          <w:rFonts w:hint="eastAsia" w:ascii="宋体" w:hAnsi="宋体" w:eastAsia="宋体"/>
          <w:lang w:val="de-DE"/>
        </w:rPr>
        <w:t>这种“上帝”观念显然比我更加地完满，因而拥有更多地实在性。因此，上帝必然比我更加真实地存在着。在“第五个沉思”中，笛卡尔则进一步通过区分观念的存在性和广延的存在性来强调“真实”的标准——心中的观念虽然在外部世界没有任何存在性，但并不代表他们不存在——凡是能够被我们的理智清楚、分明地理会到的事物，我们就可以将一种真实性赋予它。正如笛卡尔所说，“真实和存在是一回事”。</w:t>
      </w:r>
      <w:r>
        <w:rPr>
          <w:rStyle w:val="28"/>
          <w:rFonts w:ascii="宋体" w:hAnsi="宋体" w:eastAsia="宋体"/>
          <w:lang w:val="de-DE"/>
        </w:rPr>
        <w:footnoteReference w:id="37"/>
      </w:r>
      <w:r>
        <w:rPr>
          <w:rFonts w:hint="eastAsia" w:ascii="宋体" w:hAnsi="宋体" w:eastAsia="宋体"/>
          <w:lang w:val="de-DE"/>
        </w:rPr>
        <w:t>进而，就可以认定，在我们的心目中能够领会到一个清楚、分明的上帝观念。因此，我们就获得了将存在性赋予上帝的另一条路径。</w:t>
      </w:r>
      <w:r>
        <w:rPr>
          <w:rStyle w:val="28"/>
          <w:rFonts w:hint="eastAsia" w:ascii="宋体" w:hAnsi="宋体" w:eastAsia="宋体"/>
          <w:lang w:val="de-DE"/>
        </w:rPr>
        <w:footnoteReference w:id="38"/>
      </w:r>
    </w:p>
    <w:p>
      <w:pPr>
        <w:pStyle w:val="3"/>
        <w:numPr>
          <w:ilvl w:val="0"/>
          <w:numId w:val="5"/>
        </w:numPr>
        <w:spacing w:line="360" w:lineRule="auto"/>
        <w:ind w:firstLine="0"/>
        <w:rPr>
          <w:rFonts w:ascii="黑体" w:hAnsi="黑体" w:eastAsia="黑体" w:cs="黑体"/>
          <w:b w:val="0"/>
          <w:bCs w:val="0"/>
          <w:sz w:val="28"/>
          <w:szCs w:val="28"/>
          <w:lang w:val="de-DE"/>
        </w:rPr>
      </w:pPr>
      <w:bookmarkStart w:id="25" w:name="_Toc38901544"/>
      <w:bookmarkStart w:id="26" w:name="_Toc38903785"/>
      <w:r>
        <w:rPr>
          <w:rFonts w:hint="eastAsia" w:ascii="黑体" w:hAnsi="黑体" w:eastAsia="黑体" w:cs="黑体"/>
          <w:b w:val="0"/>
          <w:bCs w:val="0"/>
          <w:sz w:val="28"/>
          <w:szCs w:val="28"/>
          <w:lang w:val="de-DE"/>
        </w:rPr>
        <w:t>力量版本的存在论证明</w:t>
      </w:r>
      <w:bookmarkEnd w:id="25"/>
      <w:bookmarkEnd w:id="26"/>
    </w:p>
    <w:p>
      <w:pPr>
        <w:spacing w:line="360" w:lineRule="auto"/>
        <w:ind w:firstLine="480" w:firstLineChars="200"/>
        <w:jc w:val="both"/>
        <w:rPr>
          <w:rFonts w:ascii="宋体" w:hAnsi="宋体" w:eastAsia="宋体"/>
          <w:lang w:val="de-DE"/>
        </w:rPr>
      </w:pPr>
      <w:r>
        <w:rPr>
          <w:rFonts w:hint="eastAsia" w:ascii="宋体" w:hAnsi="宋体" w:eastAsia="宋体"/>
          <w:lang w:val="de-DE"/>
        </w:rPr>
        <w:t>在德勒兹看来，斯宾诺莎和莱布尼兹对于笛卡尔的一个共同批评就在于笛卡尔“走得太快”。</w:t>
      </w:r>
      <w:r>
        <w:rPr>
          <w:rStyle w:val="28"/>
          <w:rFonts w:ascii="宋体" w:hAnsi="宋体" w:eastAsia="宋体"/>
          <w:lang w:val="de-DE"/>
        </w:rPr>
        <w:footnoteReference w:id="39"/>
      </w:r>
      <w:r>
        <w:rPr>
          <w:rFonts w:hint="eastAsia" w:ascii="宋体" w:hAnsi="宋体" w:eastAsia="宋体"/>
          <w:lang w:val="de-DE"/>
        </w:rPr>
        <w:t>而斯宾诺莎本人对于笛卡尔的批评则主要集中在两个方面：</w:t>
      </w:r>
    </w:p>
    <w:p>
      <w:pPr>
        <w:spacing w:line="360" w:lineRule="auto"/>
        <w:ind w:firstLine="480" w:firstLineChars="200"/>
        <w:jc w:val="both"/>
        <w:rPr>
          <w:rFonts w:ascii="宋体" w:hAnsi="宋体" w:eastAsia="宋体"/>
          <w:lang w:val="de-DE"/>
        </w:rPr>
      </w:pPr>
      <w:r>
        <w:rPr>
          <w:rFonts w:hint="eastAsia" w:ascii="宋体" w:hAnsi="宋体" w:eastAsia="宋体"/>
          <w:lang w:val="de-DE"/>
        </w:rPr>
        <w:t>一是认为笛卡尔所谓的“清楚分明”的观念实际是一种模糊的区分，它不能向我们提供任何可以用来辨别上帝是否存在的确定性的标准。在其证明中，笛卡尔所谓的简易的哲学方法并非是达到真理的捷径，相反，它是将客观现实的量与形式现实的量相混淆的结果。</w:t>
      </w:r>
    </w:p>
    <w:p>
      <w:pPr>
        <w:spacing w:line="360" w:lineRule="auto"/>
        <w:ind w:firstLine="480" w:firstLineChars="200"/>
        <w:jc w:val="both"/>
        <w:rPr>
          <w:rFonts w:ascii="宋体" w:hAnsi="宋体" w:eastAsia="宋体"/>
          <w:lang w:val="de-DE"/>
        </w:rPr>
      </w:pPr>
      <w:r>
        <w:rPr>
          <w:rFonts w:hint="eastAsia" w:ascii="宋体" w:hAnsi="宋体" w:eastAsia="宋体"/>
          <w:lang w:val="de-DE"/>
        </w:rPr>
        <w:t>二是斯宾诺莎对笛卡尔根据“无上完满性”证明上帝存在的方法提出异议，他认为，“完满性”作为一种上帝的属性，可以用来说明上帝的本质，但是其本身并不是上帝的本质。这种“完满性”在某种意义上是一种象征性的属性，而非上帝真实的属性。这意味着斯宾诺莎将笛卡尔的论证基础归结为一种“拟人论”，从而驳倒了笛卡尔的上帝证明。</w:t>
      </w:r>
    </w:p>
    <w:p>
      <w:pPr>
        <w:spacing w:line="360" w:lineRule="auto"/>
        <w:ind w:firstLine="480" w:firstLineChars="200"/>
        <w:jc w:val="both"/>
        <w:rPr>
          <w:rFonts w:ascii="宋体" w:hAnsi="宋体" w:eastAsia="宋体"/>
          <w:lang w:val="de-DE"/>
        </w:rPr>
      </w:pPr>
      <w:r>
        <w:rPr>
          <w:rFonts w:hint="eastAsia" w:ascii="宋体" w:hAnsi="宋体" w:eastAsia="宋体"/>
          <w:lang w:val="de-DE"/>
        </w:rPr>
        <w:t>在对笛卡尔进行批判的基础上，斯宾诺莎是如何证明上帝存在的呢？</w:t>
      </w:r>
    </w:p>
    <w:p>
      <w:pPr>
        <w:spacing w:line="360" w:lineRule="auto"/>
        <w:ind w:firstLine="480" w:firstLineChars="200"/>
        <w:jc w:val="both"/>
        <w:rPr>
          <w:rFonts w:ascii="宋体" w:hAnsi="宋体" w:eastAsia="宋体"/>
          <w:lang w:val="de-DE"/>
        </w:rPr>
      </w:pPr>
      <w:r>
        <w:rPr>
          <w:rFonts w:hint="eastAsia" w:ascii="宋体" w:hAnsi="宋体" w:eastAsia="宋体"/>
          <w:lang w:val="de-DE"/>
        </w:rPr>
        <w:t>对于这个问题，德勒兹有一个非常精到的总结，即，斯宾诺莎用一种基于“力量”的证明取代了之前（指笛卡尔及笛卡尔主义者）基于“现实的量”的证明。</w:t>
      </w:r>
      <w:r>
        <w:rPr>
          <w:rStyle w:val="28"/>
          <w:rFonts w:ascii="宋体" w:hAnsi="宋体" w:eastAsia="宋体"/>
          <w:lang w:val="de-DE"/>
        </w:rPr>
        <w:footnoteReference w:id="40"/>
      </w:r>
      <w:r>
        <w:rPr>
          <w:rFonts w:hint="eastAsia" w:ascii="宋体" w:hAnsi="宋体" w:eastAsia="宋体"/>
          <w:lang w:val="de-DE"/>
        </w:rPr>
        <w:t>但是，这种取代并不是立刻在斯宾诺莎那里发生的，而是有一个演变的过程。斯宾诺莎有关上帝存在证明的文本可以分为早期和成熟期两类，前者的代表是《简论》和《笛卡尔哲学原理》，后者的代表是《伦理学》。</w:t>
      </w:r>
    </w:p>
    <w:p>
      <w:pPr>
        <w:spacing w:line="360" w:lineRule="auto"/>
        <w:ind w:firstLine="480" w:firstLineChars="200"/>
        <w:jc w:val="both"/>
        <w:rPr>
          <w:rFonts w:ascii="宋体" w:hAnsi="宋体" w:eastAsia="宋体"/>
          <w:lang w:val="de-DE"/>
        </w:rPr>
      </w:pPr>
      <w:r>
        <w:rPr>
          <w:rFonts w:hint="eastAsia" w:ascii="宋体" w:hAnsi="宋体" w:eastAsia="宋体"/>
          <w:lang w:val="de-DE"/>
        </w:rPr>
        <w:t>在早期文本中，斯宾诺莎更多地是对于笛卡尔的上帝证明的改造。虽然力量在其中发挥了部分作</w:t>
      </w:r>
      <w:r>
        <w:rPr>
          <w:rFonts w:eastAsia="宋体" w:asciiTheme="majorBidi" w:hAnsiTheme="majorBidi" w:cstheme="majorBidi"/>
          <w:lang w:val="de-DE"/>
        </w:rPr>
        <w:t>用，但并不占据核心位置。相关表述直接体现在《简论》之中</w:t>
      </w:r>
      <w:r>
        <w:rPr>
          <w:rFonts w:hint="eastAsia" w:eastAsia="宋体" w:asciiTheme="majorBidi" w:hAnsiTheme="majorBidi" w:cstheme="majorBidi"/>
          <w:lang w:val="de-DE"/>
        </w:rPr>
        <w:t>，</w:t>
      </w:r>
      <w:r>
        <w:rPr>
          <w:rFonts w:eastAsia="宋体" w:asciiTheme="majorBidi" w:hAnsiTheme="majorBidi" w:cstheme="majorBidi"/>
          <w:lang w:val="de-DE"/>
        </w:rPr>
        <w:t>当斯宾诺莎在其中谈到上帝的存在证明时，他指出了两种证明的路径，一种是先天（a priori）的证明，一种是后天（a posteriori）</w:t>
      </w:r>
      <w:r>
        <w:rPr>
          <w:rFonts w:ascii="宋体" w:hAnsi="宋体" w:eastAsia="宋体" w:cstheme="majorBidi"/>
          <w:lang w:val="de-DE"/>
        </w:rPr>
        <w:t>的证明。</w:t>
      </w:r>
      <w:r>
        <w:rPr>
          <w:rStyle w:val="28"/>
          <w:rFonts w:ascii="宋体" w:hAnsi="宋体" w:eastAsia="宋体" w:cstheme="majorBidi"/>
          <w:lang w:val="de-DE"/>
        </w:rPr>
        <w:footnoteReference w:id="41"/>
      </w:r>
      <w:r>
        <w:rPr>
          <w:rFonts w:ascii="宋体" w:hAnsi="宋体" w:eastAsia="宋体" w:cstheme="majorBidi"/>
          <w:lang w:val="de-DE"/>
        </w:rPr>
        <w:t>在先天证</w:t>
      </w:r>
      <w:r>
        <w:rPr>
          <w:rFonts w:eastAsia="宋体" w:asciiTheme="majorBidi" w:hAnsiTheme="majorBidi" w:cstheme="majorBidi"/>
          <w:lang w:val="de-DE"/>
        </w:rPr>
        <w:t>明中，斯宾诺莎仍然是从笛卡尔的“清楚</w:t>
      </w:r>
      <w:r>
        <w:rPr>
          <w:rFonts w:hint="eastAsia" w:eastAsia="宋体" w:asciiTheme="majorBidi" w:hAnsiTheme="majorBidi" w:cstheme="majorBidi"/>
          <w:lang w:val="de-DE"/>
        </w:rPr>
        <w:t>分明</w:t>
      </w:r>
      <w:r>
        <w:rPr>
          <w:rFonts w:eastAsia="宋体" w:asciiTheme="majorBidi" w:hAnsiTheme="majorBidi" w:cstheme="majorBidi"/>
          <w:lang w:val="de-DE"/>
        </w:rPr>
        <w:t>”的观念出发，指出我们清楚地知道，存在属于神的本性；在后天证明中，斯宾诺莎则从人的有限理智出发：人具有神的理念</w:t>
      </w:r>
      <w:r>
        <w:rPr>
          <w:rFonts w:hint="eastAsia" w:ascii="宋体" w:hAnsi="宋体" w:eastAsia="宋体"/>
          <w:lang w:val="de-DE"/>
        </w:rPr>
        <w:t>，因此神必然客观地存在</w:t>
      </w:r>
      <w:r>
        <w:rPr>
          <w:rStyle w:val="28"/>
          <w:rFonts w:ascii="宋体" w:hAnsi="宋体" w:eastAsia="宋体"/>
          <w:lang w:val="de-DE"/>
        </w:rPr>
        <w:footnoteReference w:id="42"/>
      </w:r>
      <w:r>
        <w:rPr>
          <w:rFonts w:hint="eastAsia" w:ascii="宋体" w:hAnsi="宋体" w:eastAsia="宋体"/>
          <w:lang w:val="de-DE"/>
        </w:rPr>
        <w:t>，而在人的思想中具有客观本质的事物就是一种形式的存在。因此，“假如人有神的观念，那么显然神一定是</w:t>
      </w:r>
      <w:r>
        <w:rPr>
          <w:rFonts w:eastAsia="宋体" w:asciiTheme="majorBidi" w:hAnsiTheme="majorBidi" w:cstheme="majorBidi"/>
          <w:lang w:val="de-DE"/>
        </w:rPr>
        <w:t>形式地存在着的”</w:t>
      </w:r>
      <w:r>
        <w:rPr>
          <w:rFonts w:ascii="宋体" w:hAnsi="宋体" w:eastAsia="宋体" w:cstheme="majorBidi"/>
          <w:lang w:val="de-DE"/>
        </w:rPr>
        <w:t>。</w:t>
      </w:r>
      <w:r>
        <w:rPr>
          <w:rStyle w:val="28"/>
          <w:rFonts w:ascii="宋体" w:hAnsi="宋体" w:eastAsia="宋体" w:cstheme="majorBidi"/>
          <w:lang w:val="de-DE"/>
        </w:rPr>
        <w:footnoteReference w:id="43"/>
      </w:r>
      <w:r>
        <w:rPr>
          <w:rFonts w:eastAsia="宋体" w:asciiTheme="majorBidi" w:hAnsiTheme="majorBidi" w:cstheme="majorBidi"/>
          <w:lang w:val="de-DE"/>
        </w:rPr>
        <w:t>如果一种有限理智</w:t>
      </w:r>
      <w:r>
        <w:rPr>
          <w:rFonts w:hint="eastAsia" w:ascii="宋体" w:hAnsi="宋体" w:eastAsia="宋体"/>
          <w:lang w:val="de-DE"/>
        </w:rPr>
        <w:t>不被某种外界的事物所决定的话，它无法去认识任何事物。因此，神的存在同样可以得到证明。</w:t>
      </w:r>
    </w:p>
    <w:p>
      <w:pPr>
        <w:spacing w:line="360" w:lineRule="auto"/>
        <w:ind w:firstLine="480" w:firstLineChars="200"/>
        <w:jc w:val="both"/>
        <w:rPr>
          <w:rFonts w:ascii="宋体" w:hAnsi="宋体" w:eastAsia="宋体"/>
          <w:lang w:val="de-DE"/>
        </w:rPr>
      </w:pPr>
      <w:r>
        <w:rPr>
          <w:rFonts w:hint="eastAsia" w:ascii="宋体" w:hAnsi="宋体" w:eastAsia="宋体"/>
          <w:lang w:val="de-DE"/>
        </w:rPr>
        <w:t>在《笛卡尔哲学原理》中，斯宾诺莎则对于笛卡尔的上帝证明做出进一步的改造，“力量”作为一个独立的概念进入证明的范围之中。</w:t>
      </w:r>
      <w:r>
        <w:rPr>
          <w:rFonts w:hint="eastAsia" w:ascii="宋体" w:hAnsi="宋体" w:eastAsia="宋体"/>
          <w:szCs w:val="21"/>
          <w:lang w:val="de-DE"/>
        </w:rPr>
        <w:t>首先出现在书中的相关证明是第一篇的命题五、命题六。在某种程度上，这两个命题可以看作是对《简论》的两个证明的改写，只不过他在论述中回避了所谓的“清楚明晰的观念”这一层界定。斯宾诺莎</w:t>
      </w:r>
      <w:r>
        <w:rPr>
          <w:rFonts w:hint="eastAsia" w:ascii="宋体" w:hAnsi="宋体" w:eastAsia="宋体"/>
          <w:lang w:val="de-DE"/>
        </w:rPr>
        <w:t>真正的转向出现在命题七：“神的存在这样来证明，我们本身具有神的观念，故神存在。”</w:t>
      </w:r>
      <w:r>
        <w:rPr>
          <w:rStyle w:val="28"/>
          <w:rFonts w:ascii="宋体" w:hAnsi="宋体" w:eastAsia="宋体"/>
          <w:lang w:val="de-DE"/>
        </w:rPr>
        <w:footnoteReference w:id="44"/>
      </w:r>
      <w:r>
        <w:rPr>
          <w:rFonts w:hint="eastAsia" w:ascii="宋体" w:hAnsi="宋体" w:eastAsia="宋体"/>
          <w:lang w:val="de-DE"/>
        </w:rPr>
        <w:t>在后续的论证中，斯宾诺莎将“力量”概念引入了其中：首先，力量论证的目的在于实体可以运用力量创造和保存“属性和事物”；其次，斯宾诺莎回顾了笛卡尔的一个论证，即“创造（或保存）实体的力量大于创造（或保存）属性的力量”。这一论证直接导致了斯宾诺莎敢于提出命题七的补则二，即“谁有力量支持自己，他的本性就包含必然的存在”。</w:t>
      </w:r>
      <w:r>
        <w:rPr>
          <w:rStyle w:val="28"/>
          <w:rFonts w:ascii="宋体" w:hAnsi="宋体" w:eastAsia="宋体"/>
          <w:lang w:val="de-DE"/>
        </w:rPr>
        <w:footnoteReference w:id="45"/>
      </w:r>
      <w:r>
        <w:rPr>
          <w:rFonts w:hint="eastAsia" w:ascii="宋体" w:hAnsi="宋体" w:eastAsia="宋体"/>
          <w:lang w:val="de-DE"/>
        </w:rPr>
        <w:t>这一转变的意义在于，“力量”，在斯宾诺莎那里，正式进入了“存在”的语境当中，以一种正式的原理，而非论证元素的身份出现。但是斯宾诺莎并不满足于这种论证，他提出“谁有力量支持自己，谁也就有力量重新创造自己”，并随即对命题七进行了一种力量证明，这种证明可以大致概括如下：</w:t>
      </w:r>
    </w:p>
    <w:p>
      <w:pPr>
        <w:spacing w:line="360" w:lineRule="auto"/>
        <w:ind w:firstLine="480" w:firstLineChars="200"/>
        <w:jc w:val="both"/>
        <w:rPr>
          <w:rFonts w:ascii="宋体" w:hAnsi="宋体" w:eastAsia="宋体"/>
          <w:lang w:val="de-DE"/>
        </w:rPr>
      </w:pPr>
      <w:r>
        <w:rPr>
          <w:rFonts w:hint="eastAsia" w:ascii="宋体" w:hAnsi="宋体" w:eastAsia="宋体"/>
          <w:lang w:val="de-DE"/>
        </w:rPr>
        <w:t>如果我有力量保存自己，我就可以必然地存在，因此我的本性就是完满的。但是事实表明，我的本性是不完满的，因此，我并没有力量来保存自己；但是我之所以能够存在，肯定有某种力量在保存我，如果这种力量不来自于我自己，就一定来自于外界，所以有另一物保存我。但是这一事物不能没有力量保存自己，所以它一定是一种必然存在，因此它具有我所能理解的事物的最清晰的完满性，所以这种最完满的存在物，即神，必然存在。</w:t>
      </w:r>
      <w:r>
        <w:rPr>
          <w:rStyle w:val="28"/>
          <w:rFonts w:ascii="宋体" w:hAnsi="宋体" w:eastAsia="宋体"/>
          <w:lang w:val="de-DE"/>
        </w:rPr>
        <w:footnoteReference w:id="46"/>
      </w:r>
    </w:p>
    <w:p>
      <w:pPr>
        <w:spacing w:line="360" w:lineRule="auto"/>
        <w:ind w:firstLine="480" w:firstLineChars="200"/>
        <w:jc w:val="both"/>
        <w:rPr>
          <w:rFonts w:ascii="宋体" w:hAnsi="宋体" w:eastAsia="宋体"/>
          <w:lang w:val="de-DE"/>
        </w:rPr>
      </w:pPr>
      <w:r>
        <w:rPr>
          <w:rFonts w:hint="eastAsia" w:ascii="宋体" w:hAnsi="宋体" w:eastAsia="宋体"/>
          <w:lang w:val="de-DE"/>
        </w:rPr>
        <w:t>由此，我们可以看到一种借助力量的存在证明的原始版本。这一证明预示着斯宾诺莎思想的一个转向，即从笛卡尔的静止的“方法”哲学转向一种富含“力量”和“生命”的“体系”哲学。</w:t>
      </w:r>
      <w:r>
        <w:rPr>
          <w:rStyle w:val="28"/>
          <w:rFonts w:ascii="宋体" w:hAnsi="宋体" w:eastAsia="宋体"/>
          <w:lang w:val="de-DE"/>
        </w:rPr>
        <w:footnoteReference w:id="47"/>
      </w:r>
    </w:p>
    <w:p>
      <w:pPr>
        <w:spacing w:line="360" w:lineRule="auto"/>
        <w:ind w:firstLine="480" w:firstLineChars="200"/>
        <w:jc w:val="both"/>
        <w:rPr>
          <w:rFonts w:ascii="宋体" w:hAnsi="宋体" w:eastAsia="宋体"/>
          <w:lang w:val="de-DE"/>
        </w:rPr>
      </w:pPr>
      <w:r>
        <w:rPr>
          <w:rFonts w:hint="eastAsia" w:ascii="宋体" w:hAnsi="宋体" w:eastAsia="宋体"/>
          <w:lang w:val="de-DE"/>
        </w:rPr>
        <w:t>但是，斯宾诺莎对此并不满足。因此，他在《伦理学》中对于这一问题进行进一步的说明，提出了那句非常经典的第一部分命题十一的“别证”——</w:t>
      </w:r>
    </w:p>
    <w:p>
      <w:pPr>
        <w:spacing w:line="360" w:lineRule="auto"/>
        <w:ind w:firstLine="480" w:firstLineChars="200"/>
        <w:jc w:val="both"/>
        <w:rPr>
          <w:rFonts w:eastAsia="宋体" w:asciiTheme="majorBidi" w:hAnsiTheme="majorBidi" w:cstheme="majorBidi"/>
          <w:i/>
          <w:iCs/>
          <w:lang w:val="fr-FR"/>
        </w:rPr>
      </w:pPr>
      <w:r>
        <w:rPr>
          <w:rFonts w:eastAsia="宋体" w:asciiTheme="majorBidi" w:hAnsiTheme="majorBidi" w:cstheme="majorBidi"/>
          <w:lang w:val="fr-FR"/>
        </w:rPr>
        <w:t>Posse non existere impotentia est et contra posse existere potentia est</w:t>
      </w:r>
      <w:r>
        <w:rPr>
          <w:rFonts w:hint="eastAsia" w:eastAsia="宋体" w:asciiTheme="majorBidi" w:hAnsiTheme="majorBidi" w:cstheme="majorBidi"/>
          <w:lang w:val="fr-FR"/>
        </w:rPr>
        <w:t>.</w:t>
      </w:r>
      <w:r>
        <w:rPr>
          <w:rStyle w:val="28"/>
          <w:rFonts w:eastAsia="宋体" w:asciiTheme="majorBidi" w:hAnsiTheme="majorBidi" w:cstheme="majorBidi"/>
          <w:lang w:val="de-DE"/>
        </w:rPr>
        <w:footnoteReference w:id="48"/>
      </w:r>
    </w:p>
    <w:p>
      <w:pPr>
        <w:spacing w:line="360" w:lineRule="auto"/>
        <w:ind w:firstLine="480" w:firstLineChars="200"/>
        <w:jc w:val="both"/>
        <w:rPr>
          <w:rFonts w:ascii="宋体" w:hAnsi="宋体" w:eastAsia="宋体"/>
          <w:lang w:val="de-DE"/>
        </w:rPr>
      </w:pPr>
      <w:r>
        <w:rPr>
          <w:rFonts w:ascii="宋体" w:hAnsi="宋体" w:eastAsia="宋体"/>
          <w:lang w:val="de-DE"/>
        </w:rPr>
        <w:t>——</w:t>
      </w:r>
      <w:r>
        <w:rPr>
          <w:rFonts w:hint="eastAsia" w:ascii="宋体" w:hAnsi="宋体" w:eastAsia="宋体"/>
          <w:lang w:val="de-DE"/>
        </w:rPr>
        <w:t>斯宾诺莎认为，这一命题是自明的，因此直接将其作为了论证的出发点。根据有限之物和无限之物之间的关系，斯宾诺莎做出论证：如果说除了有限之物之外无物存在，即是说有限之物比无限之物更为有力，但这是行不通的；所以，“如果不是无物存在，就是有一个绝对无限之物存在”</w:t>
      </w:r>
      <w:r>
        <w:rPr>
          <w:rStyle w:val="28"/>
          <w:rFonts w:ascii="宋体" w:hAnsi="宋体" w:eastAsia="宋体"/>
          <w:lang w:val="de-DE"/>
        </w:rPr>
        <w:footnoteReference w:id="49"/>
      </w:r>
      <w:r>
        <w:rPr>
          <w:rFonts w:hint="eastAsia" w:ascii="宋体" w:hAnsi="宋体" w:eastAsia="宋体"/>
          <w:lang w:val="de-DE"/>
        </w:rPr>
        <w:t>。由于有限之物是作为一种事实而存在，因此借助我们刚刚演绎的力量论证，这种有限之物之所以能够存在，就一定是借助于一种外在的必然存在的无限事物而存在，而这种存在即是神。因此，神必然存在。</w:t>
      </w:r>
    </w:p>
    <w:p>
      <w:pPr>
        <w:spacing w:line="360" w:lineRule="auto"/>
        <w:ind w:firstLine="480" w:firstLineChars="200"/>
        <w:jc w:val="both"/>
        <w:rPr>
          <w:rFonts w:ascii="宋体" w:hAnsi="宋体" w:eastAsia="宋体"/>
          <w:lang w:val="de-DE"/>
        </w:rPr>
      </w:pPr>
      <w:r>
        <w:rPr>
          <w:rFonts w:hint="eastAsia" w:ascii="宋体" w:hAnsi="宋体" w:eastAsia="宋体"/>
          <w:lang w:val="de-DE"/>
        </w:rPr>
        <w:t>至此斯宾诺莎就从“先天”和“后天”两个方面，当然更多地是从“后天”以及人的有限理智出发，利用存在与力量之间的紧密关系推论出了上帝的存在。但是，对于存在来说，这只是最根本和最基础的论证；对于力量来说，同样也只是证明了其与存在在本体论层面的同一，而其与有限存在的关系则要在下一个小节展开。</w:t>
      </w:r>
    </w:p>
    <w:p>
      <w:pPr>
        <w:pStyle w:val="3"/>
        <w:numPr>
          <w:ilvl w:val="0"/>
          <w:numId w:val="5"/>
        </w:numPr>
        <w:spacing w:line="360" w:lineRule="auto"/>
        <w:ind w:firstLine="0"/>
        <w:rPr>
          <w:rFonts w:ascii="黑体" w:hAnsi="黑体" w:eastAsia="黑体" w:cs="黑体"/>
          <w:b w:val="0"/>
          <w:bCs w:val="0"/>
          <w:sz w:val="28"/>
          <w:szCs w:val="28"/>
          <w:lang w:val="de-DE"/>
        </w:rPr>
      </w:pPr>
      <w:bookmarkStart w:id="27" w:name="_Toc38903786"/>
      <w:bookmarkStart w:id="28" w:name="_Toc38901545"/>
      <w:r>
        <w:rPr>
          <w:rFonts w:hint="eastAsia" w:ascii="黑体" w:hAnsi="黑体" w:eastAsia="黑体" w:cs="黑体"/>
          <w:b w:val="0"/>
          <w:bCs w:val="0"/>
          <w:sz w:val="28"/>
          <w:szCs w:val="28"/>
          <w:lang w:val="de-DE"/>
        </w:rPr>
        <w:t>存在的量度——实在性</w:t>
      </w:r>
      <w:bookmarkEnd w:id="27"/>
      <w:bookmarkEnd w:id="28"/>
    </w:p>
    <w:p>
      <w:pPr>
        <w:spacing w:line="360" w:lineRule="auto"/>
        <w:ind w:firstLine="480" w:firstLineChars="200"/>
        <w:jc w:val="both"/>
        <w:rPr>
          <w:rFonts w:ascii="宋体" w:hAnsi="宋体" w:eastAsia="宋体"/>
          <w:lang w:val="de-DE"/>
        </w:rPr>
      </w:pPr>
      <w:r>
        <w:rPr>
          <w:rFonts w:hint="eastAsia" w:ascii="宋体" w:hAnsi="宋体" w:eastAsia="宋体"/>
          <w:lang w:val="de-DE"/>
        </w:rPr>
        <w:t>“实在性”</w:t>
      </w:r>
      <w:r>
        <w:rPr>
          <w:rFonts w:eastAsia="宋体" w:asciiTheme="majorBidi" w:hAnsiTheme="majorBidi" w:cstheme="majorBidi"/>
          <w:lang w:val="de-DE"/>
        </w:rPr>
        <w:t>（realitatis）</w:t>
      </w:r>
      <w:r>
        <w:rPr>
          <w:rFonts w:hint="eastAsia" w:ascii="宋体" w:hAnsi="宋体" w:eastAsia="宋体"/>
          <w:lang w:val="de-DE"/>
        </w:rPr>
        <w:t>在斯宾诺莎这里是一种用来表述存在程度高低的属性，实在性与力量的结合使其成为了衡量存在的量度，而力量在存在层面的现实化所依赖的就是实在性。为了理清实在性的界定，我们需要再一次回到《伦理学》第一部分命题十一的别证及其附释。但是这次考察的是“实在性”这一条线索。</w:t>
      </w:r>
    </w:p>
    <w:p>
      <w:pPr>
        <w:spacing w:line="360" w:lineRule="auto"/>
        <w:ind w:firstLine="480" w:firstLineChars="200"/>
        <w:jc w:val="both"/>
        <w:rPr>
          <w:rFonts w:ascii="宋体" w:hAnsi="宋体" w:eastAsia="宋体"/>
          <w:lang w:val="de-DE"/>
        </w:rPr>
      </w:pPr>
      <w:r>
        <w:rPr>
          <w:rFonts w:hint="eastAsia" w:ascii="宋体" w:hAnsi="宋体" w:eastAsia="宋体"/>
          <w:lang w:val="de-DE"/>
        </w:rPr>
        <w:t>在附释中，斯宾诺莎说：“既然能够存在就是有力，那么一物具有实在性愈多，它能够存在的力量也必定愈多；所以绝对无限之物或神其自身也必定具有绝对无限的能够存在的力量；所以它绝对地存在。”</w:t>
      </w:r>
      <w:r>
        <w:rPr>
          <w:rStyle w:val="28"/>
          <w:rFonts w:ascii="宋体" w:hAnsi="宋体" w:eastAsia="宋体"/>
          <w:lang w:val="de-DE"/>
        </w:rPr>
        <w:footnoteReference w:id="50"/>
      </w:r>
      <w:r>
        <w:rPr>
          <w:rFonts w:hint="eastAsia" w:ascii="宋体" w:hAnsi="宋体" w:eastAsia="宋体"/>
          <w:lang w:val="de-DE"/>
        </w:rPr>
        <w:t>这里，斯宾诺莎点出了力量、存在和实在性之间的三项关系：实在性的引入，为存在的力量提供了一种衡量的标准，使得存在的力量具有了一种科学化的表达。</w:t>
      </w:r>
    </w:p>
    <w:p>
      <w:pPr>
        <w:spacing w:line="360" w:lineRule="auto"/>
        <w:ind w:firstLine="480" w:firstLineChars="200"/>
        <w:jc w:val="both"/>
        <w:rPr>
          <w:rFonts w:ascii="宋体" w:hAnsi="宋体" w:eastAsia="宋体" w:cs="宋体"/>
          <w:lang w:val="de-DE"/>
        </w:rPr>
      </w:pPr>
      <w:r>
        <w:rPr>
          <w:rFonts w:hint="eastAsia" w:ascii="宋体" w:hAnsi="宋体" w:eastAsia="宋体"/>
          <w:lang w:val="de-DE"/>
        </w:rPr>
        <w:t>这种科学化的表达本质上就是对于存在的量化，即，将存在的程度根据实在性进行划分。这种表述可以在《伦理学》中看到较为完整的形态：“一物所具有的实在</w:t>
      </w:r>
      <w:r>
        <w:rPr>
          <w:rFonts w:hint="eastAsia" w:ascii="宋体" w:hAnsi="宋体" w:eastAsia="宋体" w:cs="宋体"/>
          <w:lang w:val="de-DE"/>
        </w:rPr>
        <w:t>性或存在愈多，它所具有的属性就愈多。”</w:t>
      </w:r>
      <w:r>
        <w:rPr>
          <w:rStyle w:val="28"/>
          <w:rFonts w:hint="eastAsia" w:ascii="宋体" w:hAnsi="宋体" w:eastAsia="宋体" w:cs="宋体"/>
          <w:lang w:val="de-DE"/>
        </w:rPr>
        <w:footnoteReference w:id="51"/>
      </w:r>
      <w:r>
        <w:rPr>
          <w:rFonts w:hint="eastAsia" w:ascii="宋体" w:hAnsi="宋体" w:eastAsia="宋体" w:cs="宋体"/>
          <w:lang w:val="de-DE"/>
        </w:rPr>
        <w:t>因此，每一个属性都表示这一实体的实在性或存在。进一步，事物具有的属性愈多，所具有的存在的力量就愈大。倘若我们从具有无限属性的神的视角出发，则整个体系都呈现出了一种实在性的递减。在《形而上学思想》中，斯宾诺莎已经表明，存在所遵循的是一种因果关系。这也就意味着，在斯宾诺莎这里，从无限存在到有限存在的这一过程表现为一条“存在之链”。这一因果链条从最高点到最低点是连贯且一致的，从而表现出一种实在性不断递减的过程。因此，力量就可以从神的存在下降到万事万物的存在之中。</w:t>
      </w:r>
    </w:p>
    <w:p>
      <w:pPr>
        <w:spacing w:line="360" w:lineRule="auto"/>
        <w:ind w:firstLine="480" w:firstLineChars="200"/>
        <w:jc w:val="both"/>
        <w:rPr>
          <w:rFonts w:ascii="宋体" w:hAnsi="宋体" w:eastAsia="宋体"/>
          <w:lang w:val="de-DE"/>
        </w:rPr>
      </w:pPr>
      <w:r>
        <w:rPr>
          <w:rFonts w:hint="eastAsia" w:ascii="宋体" w:hAnsi="宋体" w:eastAsia="宋体"/>
          <w:lang w:val="de-DE"/>
        </w:rPr>
        <w:t>斯宾诺莎在《伦理学》第一部分命题二十八中对有限事物中的力量进行了论述。他指出，每一个有限且具有一定存在的事物如果没有经过另一个相同性质的事物作为原因决定它的存在和动作，它便不能存在或有所动作。而后者也同样是由一定的存在原因所决定，由此类推，以至无穷。因此，力量的因果链条不仅在无限到有限的传递中是有效的，而且在有限事物间的传递中也是有效的。正如上文所述，这种传递不仅体现在实在性的传递上，也体现在必然性的传递上：必然性存在于神的意志之中，而有限事物的行动必须依赖神的必然性而行动。因此，在神的意志的影响下，我们对于事物或事物本性的区分就出现了“主动”与“被动”两种状态，这在斯宾诺莎那里被称作“产生自然的自</w:t>
      </w:r>
      <w:r>
        <w:rPr>
          <w:rFonts w:eastAsia="宋体" w:asciiTheme="majorBidi" w:hAnsiTheme="majorBidi" w:cstheme="majorBidi"/>
          <w:lang w:val="de-DE"/>
        </w:rPr>
        <w:t>然（natura naturans）”与“被自然产生的自然(natura naturata)</w:t>
      </w:r>
      <w:r>
        <w:rPr>
          <w:rFonts w:hint="eastAsia" w:ascii="宋体" w:hAnsi="宋体" w:eastAsia="宋体"/>
          <w:lang w:val="de-DE"/>
        </w:rPr>
        <w:t>”</w:t>
      </w:r>
      <w:r>
        <w:rPr>
          <w:rStyle w:val="28"/>
          <w:rFonts w:ascii="宋体" w:hAnsi="宋体" w:eastAsia="宋体"/>
          <w:lang w:val="de-DE"/>
        </w:rPr>
        <w:footnoteReference w:id="52"/>
      </w:r>
      <w:r>
        <w:rPr>
          <w:rFonts w:hint="eastAsia" w:ascii="宋体" w:hAnsi="宋体" w:eastAsia="宋体"/>
          <w:lang w:val="de-DE"/>
        </w:rPr>
        <w:t>前者指的就是实体或神，后者指的则是被创造的事物，即这里讨论的对象。</w:t>
      </w:r>
    </w:p>
    <w:p>
      <w:pPr>
        <w:spacing w:line="360" w:lineRule="auto"/>
        <w:ind w:firstLine="480" w:firstLineChars="200"/>
        <w:jc w:val="both"/>
        <w:rPr>
          <w:rFonts w:ascii="宋体" w:hAnsi="宋体" w:eastAsia="宋体"/>
          <w:lang w:val="de-DE"/>
        </w:rPr>
      </w:pPr>
      <w:r>
        <w:rPr>
          <w:rFonts w:hint="eastAsia" w:ascii="宋体" w:hAnsi="宋体" w:eastAsia="宋体"/>
          <w:lang w:val="de-DE"/>
        </w:rPr>
        <w:t>斯宾诺莎这种区分的一个更为古老的形态则存在于西塞罗</w:t>
      </w:r>
      <w:r>
        <w:rPr>
          <w:rFonts w:eastAsia="宋体" w:asciiTheme="majorBidi" w:hAnsiTheme="majorBidi" w:cstheme="majorBidi"/>
          <w:lang w:val="de-DE"/>
        </w:rPr>
        <w:t>（Marcus Tullius Cicero）</w:t>
      </w:r>
      <w:r>
        <w:rPr>
          <w:rFonts w:hint="eastAsia" w:ascii="宋体" w:hAnsi="宋体" w:eastAsia="宋体"/>
          <w:lang w:val="de-DE"/>
        </w:rPr>
        <w:t>那里。在《论至善与至恶》的第三卷中，西塞罗同样区分了两种自然（本性）的形态：一种形态是其本性存在于其自身之内；另一种形态则是一种“被动的本性”，它根据一种“义务”来保存自身，从而达到与自然的和谐。</w:t>
      </w:r>
      <w:r>
        <w:rPr>
          <w:rStyle w:val="28"/>
          <w:rFonts w:ascii="宋体" w:hAnsi="宋体" w:eastAsia="宋体"/>
          <w:lang w:val="de-DE"/>
        </w:rPr>
        <w:footnoteReference w:id="53"/>
      </w:r>
      <w:r>
        <w:rPr>
          <w:rFonts w:hint="eastAsia" w:ascii="宋体" w:hAnsi="宋体" w:eastAsia="宋体"/>
          <w:lang w:val="de-DE"/>
        </w:rPr>
        <w:t>从中，西塞罗以一种自然主义的方式提醒我们去考察具体事</w:t>
      </w:r>
      <w:r>
        <w:rPr>
          <w:rFonts w:ascii="宋体" w:hAnsi="宋体" w:eastAsia="宋体" w:cstheme="majorBidi"/>
          <w:lang w:val="de-DE"/>
        </w:rPr>
        <w:t>物的本性。我们应当注意西塞罗对于“</w:t>
      </w:r>
      <w:r>
        <w:rPr>
          <w:rFonts w:hint="eastAsia" w:ascii="宋体" w:hAnsi="宋体" w:eastAsia="宋体" w:cstheme="majorBidi"/>
          <w:lang w:val="de-DE"/>
        </w:rPr>
        <w:t>义务</w:t>
      </w:r>
      <w:r>
        <w:rPr>
          <w:rFonts w:eastAsia="宋体" w:asciiTheme="majorBidi" w:hAnsiTheme="majorBidi" w:cstheme="majorBidi"/>
          <w:lang w:val="de-DE"/>
        </w:rPr>
        <w:t>（officium</w:t>
      </w:r>
      <w:r>
        <w:rPr>
          <w:rFonts w:eastAsia="宋体" w:asciiTheme="majorBidi" w:hAnsiTheme="majorBidi" w:cstheme="majorBidi"/>
          <w:lang w:val="el-GR"/>
        </w:rPr>
        <w:t>, ‘id enim appello καθήκον’</w:t>
      </w:r>
      <w:r>
        <w:rPr>
          <w:rFonts w:eastAsia="宋体" w:asciiTheme="majorBidi" w:hAnsiTheme="majorBidi" w:cstheme="majorBidi"/>
          <w:lang w:val="de-DE"/>
        </w:rPr>
        <w:t>）”</w:t>
      </w:r>
      <w:r>
        <w:rPr>
          <w:rStyle w:val="28"/>
          <w:rFonts w:ascii="宋体" w:hAnsi="宋体" w:eastAsia="宋体" w:cstheme="majorBidi"/>
          <w:lang w:val="de-DE"/>
        </w:rPr>
        <w:footnoteReference w:id="54"/>
      </w:r>
      <w:r>
        <w:rPr>
          <w:rFonts w:ascii="宋体" w:hAnsi="宋体" w:eastAsia="宋体" w:cstheme="majorBidi"/>
          <w:lang w:val="de-DE"/>
        </w:rPr>
        <w:t>的强调，这种</w:t>
      </w:r>
      <w:r>
        <w:rPr>
          <w:rFonts w:hint="eastAsia" w:ascii="宋体" w:hAnsi="宋体" w:eastAsia="宋体" w:cstheme="majorBidi"/>
          <w:lang w:val="de-DE"/>
        </w:rPr>
        <w:t>“义务”</w:t>
      </w:r>
      <w:r>
        <w:rPr>
          <w:rFonts w:ascii="宋体" w:hAnsi="宋体" w:eastAsia="宋体" w:cstheme="majorBidi"/>
          <w:lang w:val="de-DE"/>
        </w:rPr>
        <w:t>表明了一种存在不在其本性或本质之内的事物维系自身存在的方式</w:t>
      </w:r>
      <w:r>
        <w:rPr>
          <w:rFonts w:hint="eastAsia" w:ascii="宋体" w:hAnsi="宋体" w:eastAsia="宋体" w:cstheme="majorBidi"/>
          <w:lang w:val="de-DE"/>
        </w:rPr>
        <w:t>。</w:t>
      </w:r>
      <w:r>
        <w:rPr>
          <w:rFonts w:eastAsia="宋体" w:asciiTheme="majorBidi" w:hAnsiTheme="majorBidi" w:cstheme="majorBidi"/>
          <w:lang w:val="de-DE"/>
        </w:rPr>
        <w:t>这种方式被斯宾诺莎称为努力（conatus），</w:t>
      </w:r>
      <w:r>
        <w:rPr>
          <w:rFonts w:ascii="宋体" w:hAnsi="宋体" w:eastAsia="宋体" w:cstheme="majorBidi"/>
          <w:lang w:val="de-DE"/>
        </w:rPr>
        <w:t>它所表达的是有限事物对于存在的欲求，而“一物竭力保持其存在的努力不是别的，即是那物的现实本质”</w:t>
      </w:r>
      <w:r>
        <w:rPr>
          <w:rStyle w:val="28"/>
          <w:rFonts w:ascii="宋体" w:hAnsi="宋体" w:eastAsia="宋体" w:cstheme="majorBidi"/>
          <w:lang w:val="de-DE"/>
        </w:rPr>
        <w:footnoteReference w:id="55"/>
      </w:r>
      <w:r>
        <w:rPr>
          <w:rFonts w:ascii="宋体" w:hAnsi="宋体" w:eastAsia="宋体" w:cstheme="majorBidi"/>
          <w:lang w:val="de-DE"/>
        </w:rPr>
        <w:t>。因此，这种</w:t>
      </w:r>
      <w:r>
        <w:rPr>
          <w:rFonts w:hint="eastAsia" w:ascii="宋体" w:hAnsi="宋体" w:eastAsia="宋体"/>
          <w:lang w:val="de-DE"/>
        </w:rPr>
        <w:t>努力就是力量在个体事物的存在中的体现。</w:t>
      </w:r>
      <w:r>
        <w:rPr>
          <w:rStyle w:val="28"/>
          <w:rFonts w:ascii="宋体" w:hAnsi="宋体" w:eastAsia="宋体"/>
          <w:lang w:val="de-DE"/>
        </w:rPr>
        <w:footnoteReference w:id="56"/>
      </w:r>
    </w:p>
    <w:p>
      <w:pPr>
        <w:spacing w:line="360" w:lineRule="auto"/>
        <w:ind w:firstLine="480" w:firstLineChars="200"/>
        <w:jc w:val="both"/>
        <w:rPr>
          <w:rFonts w:ascii="宋体" w:hAnsi="宋体" w:eastAsia="宋体"/>
          <w:lang w:val="de-DE"/>
        </w:rPr>
      </w:pPr>
      <w:r>
        <w:rPr>
          <w:rFonts w:hint="eastAsia" w:ascii="宋体" w:hAnsi="宋体" w:eastAsia="宋体"/>
          <w:lang w:val="de-DE"/>
        </w:rPr>
        <w:t>至此，力量到达“存在”系统的最小单位——个体。但斯宾诺莎没有停留在存在力量的层面，而转向对于理智的考察，通过论证思想力量，完成“力量三角形”的建构。因此，让我们拭目以待！</w:t>
      </w:r>
    </w:p>
    <w:p>
      <w:pPr>
        <w:pStyle w:val="2"/>
        <w:numPr>
          <w:ilvl w:val="0"/>
          <w:numId w:val="1"/>
        </w:numPr>
        <w:spacing w:line="360" w:lineRule="auto"/>
        <w:rPr>
          <w:rFonts w:ascii="黑体" w:hAnsi="黑体" w:eastAsia="黑体" w:cs="黑体"/>
          <w:b w:val="0"/>
          <w:bCs w:val="0"/>
          <w:szCs w:val="30"/>
          <w:lang w:val="de-DE"/>
        </w:rPr>
      </w:pPr>
      <w:r>
        <w:rPr>
          <w:lang w:val="el-GR"/>
        </w:rPr>
        <w:br w:type="page"/>
      </w:r>
      <w:bookmarkStart w:id="29" w:name="_Toc38903787"/>
      <w:bookmarkStart w:id="30" w:name="_Toc38901546"/>
      <w:r>
        <w:rPr>
          <w:rFonts w:hint="eastAsia" w:ascii="黑体" w:hAnsi="黑体" w:eastAsia="黑体" w:cs="黑体"/>
          <w:b w:val="0"/>
          <w:bCs w:val="0"/>
          <w:szCs w:val="30"/>
          <w:lang w:val="el-GR"/>
        </w:rPr>
        <w:t>作为理智的力量</w:t>
      </w:r>
      <w:r>
        <w:rPr>
          <w:rStyle w:val="28"/>
          <w:rFonts w:hint="eastAsia" w:ascii="黑体" w:hAnsi="黑体" w:eastAsia="黑体" w:cs="黑体"/>
          <w:b w:val="0"/>
          <w:bCs w:val="0"/>
          <w:szCs w:val="30"/>
          <w:lang w:val="el-GR"/>
        </w:rPr>
        <w:footnoteReference w:id="57"/>
      </w:r>
      <w:bookmarkEnd w:id="29"/>
      <w:bookmarkEnd w:id="30"/>
    </w:p>
    <w:p>
      <w:pPr>
        <w:spacing w:line="360" w:lineRule="auto"/>
        <w:ind w:firstLine="480" w:firstLineChars="200"/>
        <w:jc w:val="both"/>
        <w:rPr>
          <w:rFonts w:ascii="宋体" w:hAnsi="宋体" w:eastAsia="宋体"/>
          <w:lang w:val="de-DE"/>
        </w:rPr>
      </w:pPr>
      <w:r>
        <w:rPr>
          <w:rFonts w:hint="eastAsia" w:ascii="宋体" w:hAnsi="宋体" w:eastAsia="宋体"/>
          <w:lang w:val="de-DE"/>
        </w:rPr>
        <w:t>理智被斯宾诺莎比喻为“制造知识的工具”。</w:t>
      </w:r>
      <w:r>
        <w:rPr>
          <w:rStyle w:val="28"/>
          <w:rFonts w:hint="eastAsia" w:ascii="宋体" w:hAnsi="宋体" w:eastAsia="宋体"/>
          <w:lang w:val="de-DE"/>
        </w:rPr>
        <w:footnoteReference w:id="58"/>
      </w:r>
      <w:r>
        <w:rPr>
          <w:rFonts w:hint="eastAsia" w:ascii="宋体" w:hAnsi="宋体" w:eastAsia="宋体"/>
          <w:lang w:val="de-DE"/>
        </w:rPr>
        <w:t>在《知性改进论》中，斯宾诺莎说：“知性凭借天赋的力量，自己制造理智的工具，再凭借这种工具以获得力量来从事别的新的理智的作品……如此一步一步的进展，直至达到智慧的顶峰为止。”</w:t>
      </w:r>
      <w:r>
        <w:rPr>
          <w:rStyle w:val="28"/>
          <w:rFonts w:hint="eastAsia" w:ascii="宋体" w:hAnsi="宋体" w:eastAsia="宋体"/>
          <w:lang w:val="de-DE"/>
        </w:rPr>
        <w:footnoteReference w:id="59"/>
      </w:r>
      <w:r>
        <w:rPr>
          <w:rFonts w:hint="eastAsia" w:ascii="宋体" w:hAnsi="宋体" w:eastAsia="宋体"/>
          <w:lang w:val="de-DE"/>
        </w:rPr>
        <w:t>通过理智，我们获得了一种“思想力量”。这种力量使理智有能力在认识过程中获得真观念，即真理。在认识过程中，不仅理智与外界事物之间相互作用依赖力量，而且理智内部各观念之间相互作用也依赖力量。对于斯宾诺莎而言，所有观念中最为重要的观念，就是“上帝”观念。为了正确理解获取“上帝”观念的途径，下文将对斯宾诺莎批判的“拟人论”进行考察，以展现作为有限存在的人的思想力量与作为无限存在的神的思想力量之间的差别，完成本部分论证。</w:t>
      </w:r>
      <w:bookmarkStart w:id="31" w:name="_Toc38901547"/>
      <w:bookmarkStart w:id="32" w:name="_Toc38903788"/>
    </w:p>
    <w:p>
      <w:pPr>
        <w:pStyle w:val="3"/>
        <w:numPr>
          <w:ilvl w:val="0"/>
          <w:numId w:val="6"/>
        </w:numPr>
        <w:spacing w:line="360" w:lineRule="auto"/>
        <w:ind w:firstLine="0"/>
        <w:rPr>
          <w:rFonts w:ascii="黑体" w:hAnsi="黑体" w:eastAsia="黑体" w:cs="黑体"/>
          <w:b w:val="0"/>
          <w:bCs w:val="0"/>
          <w:sz w:val="28"/>
          <w:szCs w:val="28"/>
          <w:lang w:val="de-DE"/>
        </w:rPr>
      </w:pPr>
      <w:r>
        <w:rPr>
          <w:rFonts w:hint="eastAsia" w:ascii="黑体" w:hAnsi="黑体" w:eastAsia="黑体" w:cs="黑体"/>
          <w:b w:val="0"/>
          <w:bCs w:val="0"/>
          <w:sz w:val="28"/>
          <w:szCs w:val="28"/>
          <w:lang w:val="de-DE"/>
        </w:rPr>
        <w:t>无限的理智与有限的理智</w:t>
      </w:r>
      <w:bookmarkEnd w:id="31"/>
      <w:bookmarkEnd w:id="32"/>
    </w:p>
    <w:p>
      <w:pPr>
        <w:spacing w:line="360" w:lineRule="auto"/>
        <w:ind w:firstLine="480" w:firstLineChars="200"/>
        <w:jc w:val="both"/>
        <w:rPr>
          <w:rFonts w:ascii="宋体" w:hAnsi="宋体" w:eastAsia="宋体"/>
          <w:lang w:val="de-DE"/>
        </w:rPr>
      </w:pPr>
      <w:r>
        <w:rPr>
          <w:rFonts w:hint="eastAsia" w:ascii="宋体" w:hAnsi="宋体" w:eastAsia="宋体"/>
          <w:lang w:val="de-DE"/>
        </w:rPr>
        <w:t>如果要对理智进行探讨，就不得不考虑“理智是如何开始活动的？”这一问题。对于具有无限理智的神来说，神的理智始终主动地针对其对象形成相应观念。“神只有一个而且是单纯的观念”，这一观念就是神自身；只有当神拥有一个关于自身的观念时，神才能被称为全知的。这里，神作为整体的存在再一次得到确认。由于神具有永恒性，和神同在的观念或知识也具有永恒性。因为没有事物能够存在于神的本质之外，所以，神的观念不可能是其他而只能是神的本质。</w:t>
      </w:r>
      <w:r>
        <w:rPr>
          <w:rStyle w:val="28"/>
          <w:rFonts w:ascii="宋体" w:hAnsi="宋体" w:eastAsia="宋体"/>
          <w:lang w:val="de-DE"/>
        </w:rPr>
        <w:footnoteReference w:id="60"/>
      </w:r>
      <w:r>
        <w:rPr>
          <w:rFonts w:hint="eastAsia" w:ascii="宋体" w:hAnsi="宋体" w:eastAsia="宋体"/>
          <w:lang w:val="de-DE"/>
        </w:rPr>
        <w:t>对于神来说，理智就是作为整体的“一”，神自身、神的理智、神的观念是同一。这也就是无限理智的特征。</w:t>
      </w:r>
    </w:p>
    <w:p>
      <w:pPr>
        <w:spacing w:line="360" w:lineRule="auto"/>
        <w:ind w:firstLine="480" w:firstLineChars="200"/>
        <w:jc w:val="both"/>
        <w:rPr>
          <w:rFonts w:ascii="宋体" w:hAnsi="宋体" w:eastAsia="宋体"/>
          <w:lang w:val="de-DE"/>
        </w:rPr>
      </w:pPr>
      <w:r>
        <w:rPr>
          <w:rFonts w:hint="eastAsia" w:ascii="宋体" w:hAnsi="宋体" w:eastAsia="宋体"/>
          <w:lang w:val="de-DE"/>
        </w:rPr>
        <w:t>对于具有有限理智的人来说，情况就不同了。人的理智，由于其有限性，所以其只能作为人的思想样式而存在，而不具有实在性。在神人关系中，由于人处于被动的位置，所以人相对于神来说总要被迫出离自身之外去获得理智上的认识。这种观念就必然要以自身理智之外的某种事物为对象，只有从同是有限的特殊事物那里，或从神那里，才能够获取某种知识。</w:t>
      </w:r>
      <w:r>
        <w:rPr>
          <w:rStyle w:val="28"/>
          <w:rFonts w:ascii="宋体" w:hAnsi="宋体" w:eastAsia="宋体"/>
          <w:lang w:val="de-DE"/>
        </w:rPr>
        <w:footnoteReference w:id="61"/>
      </w:r>
      <w:r>
        <w:rPr>
          <w:rFonts w:hint="eastAsia" w:ascii="宋体" w:hAnsi="宋体" w:eastAsia="宋体"/>
          <w:lang w:val="de-DE"/>
        </w:rPr>
        <w:t>因此人产生的认识并不是自由的认识，而是必然的认识。通过这种认识，人们获得的观念，并不是神那样的单一观念，而是多数观念。由于人总是“必然”的，因此，这种认识以及观念的产生也总是由神的意志所决定的。</w:t>
      </w:r>
    </w:p>
    <w:p>
      <w:pPr>
        <w:spacing w:line="360" w:lineRule="auto"/>
        <w:ind w:firstLine="480" w:firstLineChars="200"/>
        <w:jc w:val="both"/>
        <w:rPr>
          <w:rFonts w:ascii="宋体" w:hAnsi="宋体" w:eastAsia="宋体"/>
          <w:lang w:val="de-DE"/>
        </w:rPr>
      </w:pPr>
      <w:r>
        <w:rPr>
          <w:rFonts w:hint="eastAsia" w:ascii="宋体" w:hAnsi="宋体" w:eastAsia="宋体"/>
          <w:lang w:val="de-DE"/>
        </w:rPr>
        <w:t>心灵或理智对外界形成认识的过程是怎样的呢？为了回答这个问题，我们需要先回顾斯宾诺莎对于实体的两种属性——思想和广延的规定。对于人的理智来说，这一规定的关键问题在于：外在事物是如何进入我们的思想中的。为此，斯宾诺莎给出一种平行论的解决思路。一般来说，“平行”指的是两组平行的对应点之间的关系；而斯宾诺莎则将其改造为“不同属性底下的诸样态之间具有一个同一的秩序或相应性”。</w:t>
      </w:r>
      <w:r>
        <w:rPr>
          <w:rStyle w:val="28"/>
          <w:rFonts w:ascii="宋体" w:hAnsi="宋体" w:eastAsia="宋体"/>
          <w:lang w:val="de-DE"/>
        </w:rPr>
        <w:footnoteReference w:id="62"/>
      </w:r>
      <w:r>
        <w:rPr>
          <w:rFonts w:hint="eastAsia" w:ascii="宋体" w:hAnsi="宋体" w:eastAsia="宋体"/>
          <w:lang w:val="de-DE"/>
        </w:rPr>
        <w:t>思想和广延的关系就体现为这种平行的相应关系。在这一背景下，为了体现思想与广延之中的活动性的因素，斯宾诺莎将其分别命名为“思想力量”与“活动力量”。两者之间的具体关系可用斯宾诺莎在《伦理学》第三部分的命题十一概括：“如果一物增加或减少，促进或阻碍我们身体的活动力量，则这物的观念就会增加或减少，促进或阻碍我们心灵的思想力量。”</w:t>
      </w:r>
      <w:r>
        <w:rPr>
          <w:rStyle w:val="28"/>
          <w:rFonts w:ascii="宋体" w:hAnsi="宋体" w:eastAsia="宋体"/>
          <w:lang w:val="de-DE"/>
        </w:rPr>
        <w:footnoteReference w:id="63"/>
      </w:r>
      <w:r>
        <w:rPr>
          <w:rFonts w:hint="eastAsia" w:ascii="宋体" w:hAnsi="宋体" w:eastAsia="宋体"/>
          <w:lang w:val="de-DE"/>
        </w:rPr>
        <w:t>可以看到，心灵在面对外界事物时确实处于一种被动的地位：“心灵总是尽可能努力去想象足以增加或助长身体的活动力量的东西。”</w:t>
      </w:r>
      <w:r>
        <w:rPr>
          <w:rStyle w:val="28"/>
          <w:rFonts w:ascii="宋体" w:hAnsi="宋体" w:eastAsia="宋体"/>
          <w:lang w:val="de-DE"/>
        </w:rPr>
        <w:footnoteReference w:id="64"/>
      </w:r>
      <w:r>
        <w:rPr>
          <w:rFonts w:hint="eastAsia" w:ascii="宋体" w:hAnsi="宋体" w:eastAsia="宋体"/>
          <w:lang w:val="de-DE"/>
        </w:rPr>
        <w:t>因此，我们便知道寓居于心灵当中的理智与外界事物是如何发生关联的。但是，上述关联仅仅从发生学的角度向我们呈现了这种认识过程是何以发生的，却没有揭示出这些事物之间的具体联系。为此，在《伦理学》第三部分的结尾，斯宾诺莎对于心灵的思想力量与观念之间的关系做出更为彻底的论述：“当我说心灵的思想力量之增加或减少时，我的意思总是在说，心灵形成了关于身体或身体的某一部分的观念，此观念比它前此所肯定于其身体的情状，表示较大或较小的实在性。观念的优越性和思想的实际力量，是以对象的优越性为衡量的标准。”从中可以看到，在思想的层面上，“实在性”作为衡量标准再一次被使用。正如存在的实在性取决于存在的力量，观念的实在性也取决于“思想的实际力量”。因此，理智之中的思想力量就是对于理智本身所形成的观念的实在性的确证：只有通过思想的力量，理智的产物才能够存在。在这种意义上，思想的力量为理智的产物奠基。</w:t>
      </w:r>
      <w:bookmarkStart w:id="33" w:name="_Toc38903789"/>
      <w:bookmarkStart w:id="34" w:name="_Toc38901548"/>
    </w:p>
    <w:p>
      <w:pPr>
        <w:pStyle w:val="3"/>
        <w:numPr>
          <w:ilvl w:val="0"/>
          <w:numId w:val="6"/>
        </w:numPr>
        <w:spacing w:line="360" w:lineRule="auto"/>
        <w:ind w:firstLine="0"/>
        <w:rPr>
          <w:rFonts w:ascii="黑体" w:hAnsi="黑体" w:eastAsia="黑体" w:cs="黑体"/>
          <w:b w:val="0"/>
          <w:bCs w:val="0"/>
          <w:sz w:val="28"/>
          <w:szCs w:val="28"/>
          <w:lang w:val="de-DE"/>
        </w:rPr>
      </w:pPr>
      <w:r>
        <w:rPr>
          <w:rFonts w:hint="eastAsia" w:ascii="黑体" w:hAnsi="黑体" w:eastAsia="黑体" w:cs="黑体"/>
          <w:b w:val="0"/>
          <w:bCs w:val="0"/>
          <w:sz w:val="28"/>
          <w:szCs w:val="28"/>
          <w:lang w:val="de-DE"/>
        </w:rPr>
        <w:t>理智中的三数律：一个知识原则</w:t>
      </w:r>
      <w:bookmarkEnd w:id="33"/>
      <w:bookmarkEnd w:id="34"/>
    </w:p>
    <w:p>
      <w:pPr>
        <w:spacing w:line="360" w:lineRule="auto"/>
        <w:ind w:firstLine="480" w:firstLineChars="200"/>
        <w:jc w:val="both"/>
        <w:rPr>
          <w:rFonts w:ascii="宋体" w:hAnsi="宋体" w:eastAsia="宋体" w:cstheme="majorBidi"/>
          <w:lang w:val="de-DE"/>
        </w:rPr>
      </w:pPr>
      <w:r>
        <w:rPr>
          <w:rFonts w:hint="eastAsia" w:ascii="宋体" w:hAnsi="宋体" w:eastAsia="宋体"/>
          <w:lang w:val="de-DE"/>
        </w:rPr>
        <w:t>本部分对于</w:t>
      </w:r>
      <w:r>
        <w:rPr>
          <w:rFonts w:eastAsia="宋体" w:asciiTheme="majorBidi" w:hAnsiTheme="majorBidi" w:cstheme="majorBidi"/>
          <w:lang w:val="de-DE"/>
        </w:rPr>
        <w:t>三数律（</w:t>
      </w:r>
      <w:r>
        <w:rPr>
          <w:rFonts w:hint="eastAsia" w:eastAsia="宋体" w:asciiTheme="majorBidi" w:hAnsiTheme="majorBidi" w:cstheme="majorBidi"/>
          <w:lang w:val="de-DE"/>
        </w:rPr>
        <w:t>r</w:t>
      </w:r>
      <w:r>
        <w:rPr>
          <w:rFonts w:eastAsia="宋体" w:asciiTheme="majorBidi" w:hAnsiTheme="majorBidi" w:cstheme="majorBidi"/>
          <w:lang w:val="de-DE"/>
        </w:rPr>
        <w:t>egula de tri）的论述，一方面是为了更为细致</w:t>
      </w:r>
      <w:r>
        <w:rPr>
          <w:rFonts w:hint="eastAsia" w:eastAsia="宋体" w:asciiTheme="majorBidi" w:hAnsiTheme="majorBidi" w:cstheme="majorBidi"/>
          <w:lang w:val="de-DE"/>
        </w:rPr>
        <w:t>地</w:t>
      </w:r>
      <w:r>
        <w:rPr>
          <w:rFonts w:eastAsia="宋体" w:asciiTheme="majorBidi" w:hAnsiTheme="majorBidi" w:cstheme="majorBidi"/>
          <w:lang w:val="de-DE"/>
        </w:rPr>
        <w:t>展现理智的认识过程，深化对于认识层次的分析；另一方面，也是为第三部分的论述做铺垫。在斯宾诺莎</w:t>
      </w:r>
      <w:r>
        <w:rPr>
          <w:rFonts w:ascii="宋体" w:hAnsi="宋体" w:eastAsia="宋体" w:cstheme="majorBidi"/>
          <w:lang w:val="de-DE"/>
        </w:rPr>
        <w:t>论述认识事物的原则时，曾经多次提到三数律或三数原则，并将其作为解释人类理智认识的一个基本例子。就三数律本身来说，其实非常简单，它讲的就是基于四个数之间的比例关系，例如a</w:t>
      </w:r>
      <w:r>
        <w:rPr>
          <w:rFonts w:hint="eastAsia" w:ascii="宋体" w:hAnsi="宋体" w:eastAsia="宋体" w:cstheme="majorBidi"/>
          <w:lang w:val="de-DE"/>
        </w:rPr>
        <w:t>：</w:t>
      </w:r>
      <w:r>
        <w:rPr>
          <w:rFonts w:ascii="宋体" w:hAnsi="宋体" w:eastAsia="宋体" w:cstheme="majorBidi"/>
          <w:lang w:val="de-DE"/>
        </w:rPr>
        <w:t>b=c</w:t>
      </w:r>
      <w:r>
        <w:rPr>
          <w:rFonts w:hint="eastAsia" w:ascii="宋体" w:hAnsi="宋体" w:eastAsia="宋体" w:cstheme="majorBidi"/>
          <w:lang w:val="de-DE"/>
        </w:rPr>
        <w:t>：</w:t>
      </w:r>
      <w:r>
        <w:rPr>
          <w:rFonts w:ascii="宋体" w:hAnsi="宋体" w:eastAsia="宋体" w:cstheme="majorBidi"/>
          <w:lang w:val="de-DE"/>
        </w:rPr>
        <w:t>d</w:t>
      </w:r>
      <w:r>
        <w:rPr>
          <w:rFonts w:hint="eastAsia" w:ascii="宋体" w:hAnsi="宋体" w:eastAsia="宋体" w:cstheme="majorBidi"/>
          <w:lang w:val="de-DE"/>
        </w:rPr>
        <w:t>，</w:t>
      </w:r>
      <w:r>
        <w:rPr>
          <w:rFonts w:ascii="宋体" w:hAnsi="宋体" w:eastAsia="宋体" w:cstheme="majorBidi"/>
          <w:lang w:val="de-DE"/>
        </w:rPr>
        <w:t>在已知三个数的情况下，求第四个数的一种数学计算方法。这种方法也被斯宾诺莎视为区分事物知识的基本方法。</w:t>
      </w:r>
    </w:p>
    <w:p>
      <w:pPr>
        <w:spacing w:line="360" w:lineRule="auto"/>
        <w:ind w:firstLine="480" w:firstLineChars="200"/>
        <w:jc w:val="both"/>
        <w:rPr>
          <w:rFonts w:ascii="宋体" w:hAnsi="宋体" w:eastAsia="宋体"/>
          <w:lang w:val="de-DE"/>
        </w:rPr>
      </w:pPr>
      <w:r>
        <w:rPr>
          <w:rFonts w:ascii="宋体" w:hAnsi="宋体" w:eastAsia="宋体" w:cstheme="majorBidi"/>
          <w:lang w:val="de-DE"/>
        </w:rPr>
        <w:t>三数律最早出现在《简论》之中，随后又在斯宾诺莎未完成的</w:t>
      </w:r>
      <w:r>
        <w:rPr>
          <w:rFonts w:eastAsia="宋体" w:asciiTheme="majorBidi" w:hAnsiTheme="majorBidi" w:cstheme="majorBidi"/>
          <w:lang w:val="de-DE"/>
        </w:rPr>
        <w:t>《知性改进论》中出现，前后在正文中总计出现了三次。对于同一个例子的三次应用，恐怕除了“三角形的内角和”这种例子，在斯宾诺莎的著作中，还是非常罕见的。通过对这三处论述的对比，我们可以看出，斯宾诺莎认为，对于同一个事物，处于不同思维层次的人们会形成对它的不同认识，由此就划分出了四类知识：从任意名称或符号</w:t>
      </w:r>
      <w:r>
        <w:rPr>
          <w:rFonts w:hint="eastAsia" w:eastAsia="宋体" w:asciiTheme="majorBidi" w:hAnsiTheme="majorBidi" w:cstheme="majorBidi"/>
          <w:lang w:val="de-DE"/>
        </w:rPr>
        <w:t>中</w:t>
      </w:r>
      <w:r>
        <w:rPr>
          <w:rFonts w:eastAsia="宋体" w:asciiTheme="majorBidi" w:hAnsiTheme="majorBidi" w:cstheme="majorBidi"/>
          <w:lang w:val="de-DE"/>
        </w:rPr>
        <w:t>得到的知识；从泛泛的经验中获得的知识；从因果关系中推论出的知识；从认识到一件事物的本质或最近因（causa proxima）而获得</w:t>
      </w:r>
      <w:r>
        <w:rPr>
          <w:rFonts w:hint="eastAsia" w:ascii="宋体" w:hAnsi="宋体" w:eastAsia="宋体"/>
          <w:lang w:val="de-DE"/>
        </w:rPr>
        <w:t>的知识。</w:t>
      </w:r>
      <w:r>
        <w:rPr>
          <w:rStyle w:val="28"/>
          <w:rFonts w:ascii="宋体" w:hAnsi="宋体" w:eastAsia="宋体"/>
          <w:lang w:val="de-DE"/>
        </w:rPr>
        <w:footnoteReference w:id="65"/>
      </w:r>
    </w:p>
    <w:p>
      <w:pPr>
        <w:spacing w:line="360" w:lineRule="auto"/>
        <w:ind w:firstLine="480" w:firstLineChars="200"/>
        <w:jc w:val="both"/>
        <w:rPr>
          <w:rFonts w:ascii="宋体" w:hAnsi="宋体" w:eastAsia="宋体"/>
          <w:lang w:val="de-DE"/>
        </w:rPr>
      </w:pPr>
      <w:r>
        <w:rPr>
          <w:rFonts w:hint="eastAsia" w:ascii="宋体" w:hAnsi="宋体" w:eastAsia="宋体"/>
          <w:lang w:val="de-DE"/>
        </w:rPr>
        <w:t>在四种获得知识的方式中，只有第四种最接近神的认识方式。“他通过直观径直地窥察到在一切计算之中的比例”</w:t>
      </w:r>
      <w:r>
        <w:rPr>
          <w:rStyle w:val="28"/>
          <w:rFonts w:ascii="宋体" w:hAnsi="宋体" w:eastAsia="宋体"/>
          <w:lang w:val="de-DE"/>
        </w:rPr>
        <w:footnoteReference w:id="66"/>
      </w:r>
      <w:r>
        <w:rPr>
          <w:rFonts w:hint="eastAsia" w:ascii="宋体" w:hAnsi="宋体" w:eastAsia="宋体"/>
          <w:lang w:val="de-DE"/>
        </w:rPr>
        <w:t>，只有这种人才真正把握到了三数原则的本质。但是这种认识方式仍然是有限者所具有的认识方式。对于无限实体来说，这种原则只是一种借用数学进行表达的思想样式，其本身没有任何的实在性。</w:t>
      </w:r>
    </w:p>
    <w:p>
      <w:pPr>
        <w:pStyle w:val="3"/>
        <w:numPr>
          <w:ilvl w:val="0"/>
          <w:numId w:val="6"/>
        </w:numPr>
        <w:spacing w:line="360" w:lineRule="auto"/>
        <w:ind w:firstLine="0"/>
        <w:rPr>
          <w:rFonts w:ascii="黑体" w:hAnsi="黑体" w:eastAsia="黑体" w:cs="黑体"/>
          <w:b w:val="0"/>
          <w:bCs w:val="0"/>
          <w:sz w:val="28"/>
          <w:szCs w:val="28"/>
          <w:lang w:val="de-DE"/>
        </w:rPr>
      </w:pPr>
      <w:bookmarkStart w:id="35" w:name="_Toc38903790"/>
      <w:bookmarkStart w:id="36" w:name="_Toc38901549"/>
      <w:r>
        <w:rPr>
          <w:rFonts w:hint="eastAsia" w:ascii="黑体" w:hAnsi="黑体" w:eastAsia="黑体" w:cs="黑体"/>
          <w:b w:val="0"/>
          <w:bCs w:val="0"/>
          <w:sz w:val="28"/>
          <w:szCs w:val="28"/>
          <w:lang w:val="de-DE"/>
        </w:rPr>
        <w:t>反驳“拟人论”</w:t>
      </w:r>
      <w:bookmarkEnd w:id="35"/>
      <w:bookmarkEnd w:id="36"/>
    </w:p>
    <w:p>
      <w:pPr>
        <w:spacing w:line="360" w:lineRule="auto"/>
        <w:ind w:firstLine="480" w:firstLineChars="200"/>
        <w:jc w:val="both"/>
        <w:rPr>
          <w:rFonts w:ascii="宋体" w:hAnsi="宋体" w:eastAsia="宋体"/>
          <w:lang w:val="de-DE"/>
        </w:rPr>
      </w:pPr>
      <w:r>
        <w:rPr>
          <w:rFonts w:hint="eastAsia" w:ascii="宋体" w:hAnsi="宋体" w:eastAsia="宋体"/>
          <w:lang w:val="de-DE"/>
        </w:rPr>
        <w:t>无论从《简论》还是从《伦理学》中，我们都可以看到斯宾诺莎对于“拟人论”</w:t>
      </w:r>
      <w:r>
        <w:rPr>
          <w:rFonts w:eastAsia="宋体" w:asciiTheme="majorBidi" w:hAnsiTheme="majorBidi" w:cstheme="majorBidi"/>
          <w:lang w:val="de-DE"/>
        </w:rPr>
        <w:t>（anthropomorphisme）坚持不懈地批判</w:t>
      </w:r>
      <w:r>
        <w:rPr>
          <w:rFonts w:hint="eastAsia" w:ascii="宋体" w:hAnsi="宋体" w:eastAsia="宋体"/>
          <w:lang w:val="de-DE"/>
        </w:rPr>
        <w:t>。对于斯宾诺莎来说，“拟人论者”总是抱有某种“上帝与我们相似”的成见，用有限的人自身感受到的某些模糊的属性去对无限的上帝妄加揣测。他所批判的对象，表面上是当时的某些神学家和哲学家，而根本上则是经院哲学的集大成者——托马斯</w:t>
      </w:r>
      <w:r>
        <w:rPr>
          <w:rFonts w:hint="eastAsia" w:ascii="宋体" w:hAnsi="宋体" w:eastAsia="宋体"/>
        </w:rPr>
        <w:t>·</w:t>
      </w:r>
      <w:r>
        <w:rPr>
          <w:rFonts w:hint="eastAsia" w:ascii="宋体" w:hAnsi="宋体" w:eastAsia="宋体"/>
          <w:lang w:val="de-DE"/>
        </w:rPr>
        <w:t>阿奎那。</w:t>
      </w:r>
      <w:r>
        <w:rPr>
          <w:rStyle w:val="28"/>
          <w:rFonts w:ascii="宋体" w:hAnsi="宋体" w:eastAsia="宋体"/>
          <w:lang w:val="de-DE"/>
        </w:rPr>
        <w:footnoteReference w:id="67"/>
      </w:r>
      <w:r>
        <w:rPr>
          <w:rFonts w:hint="eastAsia" w:ascii="宋体" w:hAnsi="宋体" w:eastAsia="宋体"/>
          <w:lang w:val="de-DE"/>
        </w:rPr>
        <w:t>虽然斯宾诺莎并没有明确批判阿奎那哲学，但是，从他早期对经院哲学术语的多次应用和后期对于经院哲学的反思批判之中，我们可以推断出，经院哲学无疑对他产生了较大的影响。而他后期的批判所包含的一个重要方面，就是对于“拟人论”的批判。</w:t>
      </w:r>
    </w:p>
    <w:p>
      <w:pPr>
        <w:spacing w:line="360" w:lineRule="auto"/>
        <w:ind w:firstLine="480" w:firstLineChars="200"/>
        <w:jc w:val="both"/>
        <w:rPr>
          <w:rFonts w:ascii="宋体" w:hAnsi="宋体" w:eastAsia="宋体"/>
          <w:strike/>
          <w:lang w:val="de-DE"/>
        </w:rPr>
      </w:pPr>
      <w:r>
        <w:rPr>
          <w:rFonts w:hint="eastAsia" w:ascii="宋体" w:hAnsi="宋体" w:eastAsia="宋体"/>
          <w:lang w:val="de-DE"/>
        </w:rPr>
        <w:t>在斯宾诺莎看来，无限理智和有限理智同处于一个系统，且后者必然被包含在前者之中。因此，在斯宾诺莎这里，有限理智的原则只具有部分的有效性，而不具有整体的有效性。为了表明这一点，笔者将以上一小节论述的“三数原则”为例，通过比较阿奎那和斯宾诺莎对于三数原则的不同态度，来更好地展现斯宾诺莎那里的“无限理智”和“有限理智”与经院哲学相关论述的区别。</w:t>
      </w:r>
    </w:p>
    <w:p>
      <w:pPr>
        <w:spacing w:line="360" w:lineRule="auto"/>
        <w:ind w:firstLine="480" w:firstLineChars="200"/>
        <w:jc w:val="both"/>
        <w:rPr>
          <w:rFonts w:ascii="宋体" w:hAnsi="宋体" w:eastAsia="宋体"/>
          <w:lang w:val="de-DE"/>
        </w:rPr>
      </w:pPr>
      <w:r>
        <w:rPr>
          <w:rFonts w:hint="eastAsia" w:ascii="宋体" w:hAnsi="宋体" w:eastAsia="宋体"/>
          <w:lang w:val="de-DE"/>
        </w:rPr>
        <w:t>首先，我们要给出三数原则的应用性建构：</w:t>
      </w:r>
    </w:p>
    <w:p>
      <w:pPr>
        <w:spacing w:line="360" w:lineRule="auto"/>
        <w:ind w:firstLine="480" w:firstLineChars="200"/>
        <w:jc w:val="both"/>
        <w:rPr>
          <w:rFonts w:ascii="宋体" w:hAnsi="宋体" w:eastAsia="宋体"/>
          <w:lang w:val="de-DE"/>
        </w:rPr>
      </w:pPr>
      <w:r>
        <w:rPr>
          <w:rFonts w:hint="eastAsia" w:ascii="宋体" w:hAnsi="宋体" w:eastAsia="宋体"/>
          <w:lang w:val="de-DE"/>
        </w:rPr>
        <w:t>人：神＝人的理智：神的理智</w:t>
      </w:r>
    </w:p>
    <w:p>
      <w:pPr>
        <w:spacing w:line="360" w:lineRule="auto"/>
        <w:ind w:firstLine="480" w:firstLineChars="200"/>
        <w:jc w:val="both"/>
        <w:rPr>
          <w:rFonts w:ascii="宋体" w:hAnsi="宋体" w:eastAsia="宋体"/>
          <w:lang w:val="de-DE"/>
        </w:rPr>
      </w:pPr>
      <w:r>
        <w:rPr>
          <w:rFonts w:hint="eastAsia" w:ascii="宋体" w:hAnsi="宋体" w:eastAsia="宋体"/>
          <w:lang w:val="de-DE"/>
        </w:rPr>
        <w:t>在《反异教大全》中，阿奎那提出：“属于上帝的东西和属于存在的东西之间既不是单义的，也不是含混的，而是类比的，即通过关系或指称与第一因相联系。”</w:t>
      </w:r>
      <w:r>
        <w:rPr>
          <w:rStyle w:val="28"/>
          <w:rFonts w:ascii="宋体" w:hAnsi="宋体" w:eastAsia="宋体"/>
          <w:lang w:val="de-DE"/>
        </w:rPr>
        <w:footnoteReference w:id="68"/>
      </w:r>
      <w:r>
        <w:rPr>
          <w:rFonts w:hint="eastAsia" w:ascii="宋体" w:hAnsi="宋体" w:eastAsia="宋体"/>
          <w:lang w:val="de-DE"/>
        </w:rPr>
        <w:t>因此，“类比”就成为人类理解上帝的唯一手段</w:t>
      </w:r>
      <w:r>
        <w:rPr>
          <w:rFonts w:hint="eastAsia" w:eastAsia="宋体" w:asciiTheme="majorBidi" w:hAnsiTheme="majorBidi" w:cstheme="majorBidi"/>
          <w:lang w:val="de-DE"/>
        </w:rPr>
        <w:t>。</w:t>
      </w:r>
      <w:r>
        <w:rPr>
          <w:rFonts w:hint="eastAsia" w:ascii="宋体" w:hAnsi="宋体" w:eastAsia="宋体"/>
          <w:lang w:val="de-DE"/>
        </w:rPr>
        <w:t>阿奎那的一个重要理论就是其在改造亚里士多德哲学基础上形成的“存在的类比”理论。</w:t>
      </w:r>
      <w:r>
        <w:rPr>
          <w:rFonts w:hint="eastAsia" w:eastAsia="宋体" w:asciiTheme="majorBidi" w:hAnsiTheme="majorBidi" w:cstheme="majorBidi"/>
          <w:lang w:val="de-DE"/>
        </w:rPr>
        <w:t>在阿奎那那里，“存在的类比”具有</w:t>
      </w:r>
      <w:r>
        <w:rPr>
          <w:rFonts w:eastAsia="宋体" w:asciiTheme="majorBidi" w:hAnsiTheme="majorBidi" w:cstheme="majorBidi"/>
          <w:lang w:val="de-DE"/>
        </w:rPr>
        <w:t>两种</w:t>
      </w:r>
      <w:r>
        <w:rPr>
          <w:rFonts w:hint="eastAsia" w:eastAsia="宋体" w:asciiTheme="majorBidi" w:hAnsiTheme="majorBidi" w:cstheme="majorBidi"/>
          <w:lang w:val="de-DE"/>
        </w:rPr>
        <w:t>形态：</w:t>
      </w:r>
      <w:r>
        <w:rPr>
          <w:rFonts w:eastAsia="宋体" w:asciiTheme="majorBidi" w:hAnsiTheme="majorBidi" w:cstheme="majorBidi"/>
          <w:lang w:val="de-DE"/>
        </w:rPr>
        <w:t>比例类比和关系类比。前者指</w:t>
      </w:r>
      <w:r>
        <w:rPr>
          <w:rFonts w:hint="eastAsia" w:ascii="宋体" w:hAnsi="宋体" w:eastAsia="宋体"/>
          <w:lang w:val="de-DE"/>
        </w:rPr>
        <w:t>的是作为范畴的实体和属性与作为偶性的个体和个别性质之间的比是相等的，即“石头：实体=相等性：关系=现在：时间”；而后者则处理实体和各个属性之间的关系，即“质：实体，量：实体，关系：实体”。后者在亚里士多德那里也被称为一种“向一”关系，即所有其他的异质的项都朝向一个被规定的中心项，表达一种附属性或者归附性。</w:t>
      </w:r>
    </w:p>
    <w:p>
      <w:pPr>
        <w:spacing w:line="360" w:lineRule="auto"/>
        <w:ind w:firstLine="480" w:firstLineChars="200"/>
        <w:jc w:val="both"/>
        <w:rPr>
          <w:rFonts w:ascii="宋体" w:hAnsi="宋体" w:eastAsia="宋体"/>
          <w:lang w:val="de-DE"/>
        </w:rPr>
      </w:pPr>
      <w:r>
        <w:rPr>
          <w:rFonts w:hint="eastAsia" w:ascii="宋体" w:hAnsi="宋体" w:eastAsia="宋体"/>
          <w:lang w:val="de-DE"/>
        </w:rPr>
        <w:t>事实上，上文给出的例子恰恰是阿奎那用来说明其“比例类比”的例子之一。阿奎那根据其理论向我们论证，“神与人之间相隔着无限的距离”，但存在一种比例上的对应关系。这恰恰是斯宾诺莎所要批判的因素。正如他在《伦理学》中提到，人们总会将自身的理智比附于上帝的理智，而且这种思维的方式还往往带有某种目的论的倾向。斯宾诺莎认为，这都是由于人们长期经验形成的某种成见。而对于有限的人来说，只有借助数学这种清晰明确的工具才能够摆脱。由此，我们转向对斯宾诺莎的考察。</w:t>
      </w:r>
    </w:p>
    <w:p>
      <w:pPr>
        <w:spacing w:line="360" w:lineRule="auto"/>
        <w:ind w:firstLine="480" w:firstLineChars="200"/>
        <w:jc w:val="both"/>
        <w:rPr>
          <w:rFonts w:ascii="宋体" w:hAnsi="宋体" w:eastAsia="宋体"/>
          <w:lang w:val="de-DE"/>
        </w:rPr>
      </w:pPr>
      <w:r>
        <w:rPr>
          <w:rFonts w:hint="eastAsia" w:ascii="宋体" w:hAnsi="宋体" w:eastAsia="宋体"/>
          <w:lang w:val="de-DE"/>
        </w:rPr>
        <w:t>笔者认为，斯宾诺莎对于这一建构的批判方式，是通过对等式的处理来证明这种方式的不合理性。具体步骤如下：</w:t>
      </w:r>
    </w:p>
    <w:p>
      <w:pPr>
        <w:pStyle w:val="30"/>
        <w:numPr>
          <w:ilvl w:val="0"/>
          <w:numId w:val="7"/>
        </w:numPr>
        <w:spacing w:line="360" w:lineRule="auto"/>
        <w:ind w:firstLineChars="0"/>
        <w:jc w:val="both"/>
        <w:rPr>
          <w:rFonts w:ascii="宋体" w:hAnsi="宋体" w:eastAsia="宋体"/>
          <w:lang w:val="de-DE"/>
        </w:rPr>
      </w:pPr>
      <w:r>
        <w:rPr>
          <w:rFonts w:hint="eastAsia" w:ascii="宋体" w:hAnsi="宋体" w:eastAsia="宋体"/>
          <w:lang w:val="de-DE"/>
        </w:rPr>
        <w:t>假设：人：神=人的理智：神的理智</w:t>
      </w:r>
    </w:p>
    <w:p>
      <w:pPr>
        <w:pStyle w:val="30"/>
        <w:numPr>
          <w:ilvl w:val="0"/>
          <w:numId w:val="7"/>
        </w:numPr>
        <w:spacing w:line="360" w:lineRule="auto"/>
        <w:ind w:firstLineChars="0"/>
        <w:jc w:val="both"/>
        <w:rPr>
          <w:rFonts w:ascii="宋体" w:hAnsi="宋体" w:eastAsia="宋体"/>
          <w:lang w:val="de-DE"/>
        </w:rPr>
      </w:pPr>
      <w:r>
        <w:rPr>
          <w:rFonts w:hint="eastAsia" w:ascii="宋体" w:hAnsi="宋体" w:eastAsia="宋体"/>
          <w:lang w:val="de-DE"/>
        </w:rPr>
        <w:t>因为，神与神的理智是同一种东西</w:t>
      </w:r>
    </w:p>
    <w:p>
      <w:pPr>
        <w:pStyle w:val="30"/>
        <w:numPr>
          <w:ilvl w:val="0"/>
          <w:numId w:val="7"/>
        </w:numPr>
        <w:spacing w:line="360" w:lineRule="auto"/>
        <w:ind w:firstLineChars="0"/>
        <w:jc w:val="both"/>
        <w:rPr>
          <w:rFonts w:ascii="宋体" w:hAnsi="宋体" w:eastAsia="宋体"/>
          <w:lang w:val="de-DE"/>
        </w:rPr>
      </w:pPr>
      <w:r>
        <w:rPr>
          <w:rFonts w:hint="eastAsia" w:ascii="宋体" w:hAnsi="宋体" w:eastAsia="宋体"/>
          <w:lang w:val="de-DE"/>
        </w:rPr>
        <w:t>所以，神=神的理智</w:t>
      </w:r>
    </w:p>
    <w:p>
      <w:pPr>
        <w:pStyle w:val="30"/>
        <w:numPr>
          <w:ilvl w:val="0"/>
          <w:numId w:val="7"/>
        </w:numPr>
        <w:spacing w:line="360" w:lineRule="auto"/>
        <w:ind w:firstLineChars="0"/>
        <w:jc w:val="both"/>
        <w:rPr>
          <w:rFonts w:ascii="宋体" w:hAnsi="宋体" w:eastAsia="宋体"/>
          <w:lang w:val="de-DE"/>
        </w:rPr>
      </w:pPr>
      <w:r>
        <w:rPr>
          <w:rFonts w:hint="eastAsia" w:ascii="宋体" w:hAnsi="宋体" w:eastAsia="宋体"/>
          <w:lang w:val="de-DE"/>
        </w:rPr>
        <w:t>代入（1）式，得，人=人的理智</w:t>
      </w:r>
    </w:p>
    <w:p>
      <w:pPr>
        <w:pStyle w:val="30"/>
        <w:numPr>
          <w:ilvl w:val="0"/>
          <w:numId w:val="7"/>
        </w:numPr>
        <w:spacing w:line="360" w:lineRule="auto"/>
        <w:ind w:firstLineChars="0"/>
        <w:jc w:val="both"/>
        <w:rPr>
          <w:rFonts w:ascii="宋体" w:hAnsi="宋体" w:eastAsia="宋体"/>
          <w:lang w:val="de-DE"/>
        </w:rPr>
      </w:pPr>
      <w:r>
        <w:rPr>
          <w:rFonts w:hint="eastAsia" w:ascii="宋体" w:hAnsi="宋体" w:eastAsia="宋体"/>
          <w:lang w:val="de-DE"/>
        </w:rPr>
        <w:t>又因为，人的理智只是一个思想样式，且，人≠人的思想样式</w:t>
      </w:r>
    </w:p>
    <w:p>
      <w:pPr>
        <w:pStyle w:val="30"/>
        <w:numPr>
          <w:ilvl w:val="0"/>
          <w:numId w:val="7"/>
        </w:numPr>
        <w:spacing w:line="360" w:lineRule="auto"/>
        <w:ind w:firstLineChars="0"/>
        <w:jc w:val="both"/>
        <w:rPr>
          <w:rFonts w:ascii="宋体" w:hAnsi="宋体" w:eastAsia="宋体"/>
          <w:lang w:val="de-DE"/>
        </w:rPr>
      </w:pPr>
      <w:r>
        <w:rPr>
          <w:rFonts w:hint="eastAsia" w:ascii="宋体" w:hAnsi="宋体" w:eastAsia="宋体"/>
          <w:lang w:val="de-DE"/>
        </w:rPr>
        <w:t>所以，人≠人的理智</w:t>
      </w:r>
    </w:p>
    <w:p>
      <w:pPr>
        <w:pStyle w:val="30"/>
        <w:numPr>
          <w:ilvl w:val="0"/>
          <w:numId w:val="7"/>
        </w:numPr>
        <w:spacing w:line="360" w:lineRule="auto"/>
        <w:ind w:firstLineChars="0"/>
        <w:jc w:val="both"/>
        <w:rPr>
          <w:rFonts w:ascii="宋体" w:hAnsi="宋体" w:eastAsia="宋体"/>
          <w:lang w:val="de-DE"/>
        </w:rPr>
      </w:pPr>
      <w:r>
        <w:rPr>
          <w:rFonts w:hint="eastAsia" w:ascii="宋体" w:hAnsi="宋体" w:eastAsia="宋体"/>
          <w:lang w:val="de-DE"/>
        </w:rPr>
        <w:t>矛盾</w:t>
      </w:r>
      <w:r>
        <w:rPr>
          <w:rFonts w:hint="eastAsia" w:ascii="宋体" w:hAnsi="宋体" w:eastAsia="宋体"/>
        </w:rPr>
        <w:t>!</w:t>
      </w:r>
    </w:p>
    <w:p>
      <w:pPr>
        <w:pStyle w:val="30"/>
        <w:numPr>
          <w:ilvl w:val="0"/>
          <w:numId w:val="7"/>
        </w:numPr>
        <w:spacing w:line="360" w:lineRule="auto"/>
        <w:ind w:firstLineChars="0"/>
        <w:jc w:val="both"/>
        <w:rPr>
          <w:rFonts w:ascii="宋体" w:hAnsi="宋体" w:eastAsia="宋体"/>
          <w:lang w:val="de-DE"/>
        </w:rPr>
      </w:pPr>
      <w:r>
        <w:rPr>
          <w:rFonts w:hint="eastAsia" w:ascii="宋体" w:hAnsi="宋体" w:eastAsia="宋体"/>
          <w:lang w:val="de-DE"/>
        </w:rPr>
        <w:t>所以，假设不成立</w:t>
      </w:r>
    </w:p>
    <w:p>
      <w:pPr>
        <w:spacing w:line="360" w:lineRule="auto"/>
        <w:ind w:firstLine="480" w:firstLineChars="200"/>
        <w:jc w:val="both"/>
        <w:rPr>
          <w:rFonts w:ascii="宋体" w:hAnsi="宋体" w:eastAsia="宋体"/>
          <w:lang w:val="de-DE"/>
        </w:rPr>
      </w:pPr>
      <w:r>
        <w:rPr>
          <w:rFonts w:hint="eastAsia" w:ascii="宋体" w:hAnsi="宋体" w:eastAsia="宋体"/>
          <w:lang w:val="de-DE"/>
        </w:rPr>
        <w:t>由此，我们就完成了这一证明。</w:t>
      </w:r>
    </w:p>
    <w:p>
      <w:pPr>
        <w:spacing w:line="360" w:lineRule="auto"/>
        <w:ind w:firstLine="480" w:firstLineChars="200"/>
        <w:jc w:val="both"/>
        <w:rPr>
          <w:rFonts w:ascii="宋体" w:hAnsi="宋体" w:eastAsia="宋体"/>
          <w:lang w:val="de-DE"/>
        </w:rPr>
      </w:pPr>
      <w:r>
        <w:rPr>
          <w:rFonts w:hint="eastAsia" w:ascii="宋体" w:hAnsi="宋体" w:eastAsia="宋体"/>
          <w:lang w:val="de-DE"/>
        </w:rPr>
        <w:t>这一证明的转折点在第五步，但是其所反映的根本问题却体现在第三步。当我们下判断说“神=神的理智”的时候，问题就已经出现了。因为“神=神的理智”所代表的不</w:t>
      </w:r>
      <w:r>
        <w:rPr>
          <w:rFonts w:ascii="宋体" w:hAnsi="宋体" w:eastAsia="宋体" w:cstheme="majorBidi"/>
          <w:lang w:val="de-DE"/>
        </w:rPr>
        <w:t>是“a=b”而是“a=a”，即“神”与“神的理智”不</w:t>
      </w:r>
      <w:r>
        <w:rPr>
          <w:rFonts w:hint="eastAsia" w:ascii="宋体" w:hAnsi="宋体" w:eastAsia="宋体"/>
          <w:lang w:val="de-DE"/>
        </w:rPr>
        <w:t>是两个相等的事物，而根本上是同一个事物；而在第四步中，等式所代</w:t>
      </w:r>
      <w:r>
        <w:rPr>
          <w:rFonts w:ascii="宋体" w:hAnsi="宋体" w:eastAsia="宋体" w:cstheme="majorBidi"/>
          <w:lang w:val="de-DE"/>
        </w:rPr>
        <w:t>表的的确是“a=b”（“人=人的理智”</w:t>
      </w:r>
      <w:r>
        <w:rPr>
          <w:rFonts w:hint="eastAsia" w:ascii="宋体" w:hAnsi="宋体" w:eastAsia="宋体"/>
          <w:lang w:val="de-DE"/>
        </w:rPr>
        <w:t>），是两个相等的不同事物。因为“</w:t>
      </w:r>
      <w:r>
        <w:rPr>
          <w:rFonts w:ascii="宋体" w:hAnsi="宋体" w:eastAsia="宋体" w:cstheme="majorBidi"/>
          <w:lang w:val="de-DE"/>
        </w:rPr>
        <w:t>不同事物之比”≠“相同事物</w:t>
      </w:r>
      <w:r>
        <w:rPr>
          <w:rFonts w:hint="eastAsia" w:ascii="宋体" w:hAnsi="宋体" w:eastAsia="宋体"/>
          <w:lang w:val="de-DE"/>
        </w:rPr>
        <w:t>之比”，所以这种类比不可能成功。当一切都处于神之中的时候，除了神和由神的理智流出的事物，其他一切都是分离的、部分的、不完全的、非必然的，简言之，有限的。只有神才是无限的，所以只有神才能与其理智同一。其他一切事物都表现出对于神的一种归附性，一切事物都在神之内。进而，“拟人论”的“比例类比”不成立。因此，斯宾诺莎在实体层面从“比例类比”转向一种新的“关系类比”，从而完成对“拟人论”的批判。</w:t>
      </w:r>
    </w:p>
    <w:p>
      <w:pPr>
        <w:spacing w:line="360" w:lineRule="auto"/>
        <w:ind w:firstLine="480" w:firstLineChars="200"/>
        <w:jc w:val="both"/>
        <w:rPr>
          <w:rFonts w:ascii="宋体" w:hAnsi="宋体" w:eastAsia="宋体"/>
          <w:lang w:val="de-DE"/>
        </w:rPr>
      </w:pPr>
      <w:r>
        <w:rPr>
          <w:rFonts w:hint="eastAsia" w:ascii="宋体" w:hAnsi="宋体" w:eastAsia="宋体"/>
          <w:lang w:val="de-DE"/>
        </w:rPr>
        <w:t>于是，我们完成对于斯宾诺莎的三元结构最后一部分的考察。在这一部分</w:t>
      </w:r>
      <w:r>
        <w:rPr>
          <w:rFonts w:hint="eastAsia" w:ascii="宋体" w:hAnsi="宋体" w:eastAsia="宋体"/>
        </w:rPr>
        <w:t>,</w:t>
      </w:r>
      <w:r>
        <w:rPr>
          <w:rFonts w:hint="eastAsia" w:ascii="宋体" w:hAnsi="宋体" w:eastAsia="宋体"/>
          <w:lang w:val="de-DE"/>
        </w:rPr>
        <w:t>力量相应演化为“思想力量”，在有限理智的认识过程中发挥着奠基作用。</w:t>
      </w:r>
    </w:p>
    <w:p>
      <w:pPr>
        <w:pStyle w:val="2"/>
        <w:spacing w:line="360" w:lineRule="auto"/>
        <w:rPr>
          <w:rFonts w:ascii="黑体" w:hAnsi="黑体" w:eastAsia="黑体" w:cs="黑体"/>
          <w:b w:val="0"/>
          <w:bCs w:val="0"/>
          <w:szCs w:val="30"/>
        </w:rPr>
      </w:pPr>
      <w:r>
        <w:rPr>
          <w:rFonts w:ascii="宋体" w:hAnsi="宋体" w:eastAsia="宋体"/>
          <w:sz w:val="24"/>
          <w:szCs w:val="24"/>
          <w:lang w:val="de-DE"/>
        </w:rPr>
        <w:br w:type="page"/>
      </w:r>
      <w:bookmarkStart w:id="37" w:name="_Toc38903791"/>
      <w:bookmarkStart w:id="38" w:name="_Toc38901550"/>
      <w:r>
        <w:rPr>
          <w:rFonts w:hint="eastAsia" w:ascii="黑体" w:hAnsi="黑体" w:eastAsia="黑体" w:cs="黑体"/>
          <w:b w:val="0"/>
          <w:bCs w:val="0"/>
          <w:szCs w:val="30"/>
        </w:rPr>
        <w:t>结  论</w:t>
      </w:r>
      <w:bookmarkEnd w:id="37"/>
      <w:bookmarkEnd w:id="38"/>
    </w:p>
    <w:p>
      <w:pPr>
        <w:spacing w:line="360" w:lineRule="auto"/>
        <w:ind w:firstLine="480" w:firstLineChars="200"/>
        <w:jc w:val="both"/>
        <w:rPr>
          <w:rFonts w:ascii="宋体" w:hAnsi="宋体" w:eastAsia="宋体"/>
          <w:lang w:val="de-DE"/>
        </w:rPr>
      </w:pPr>
      <w:r>
        <w:rPr>
          <w:rFonts w:hint="eastAsia" w:ascii="宋体" w:hAnsi="宋体" w:eastAsia="宋体"/>
          <w:lang w:val="de-DE"/>
        </w:rPr>
        <w:t>通过上文的论述，我们可以看到，“力量”这一概念在斯宾诺莎的哲学体系中的确处于一种奠基性位置。通过指出斯宾诺莎哲学中对“三”与“一”的重视，本文重新梳理斯宾诺莎哲学中几个重要的概念范畴，并将其中的本质、存在、理智三个关键概念通过力量串联起来。对作为本质的力量而言，无论对本质的界定成功与否，本质始终与力量同一。两者共同作为“前规定”的事物存在。在两者关系的基础上，“必然性”机制得以运作。在存在的部分，存在的力量即为存在的支撑。从上帝存在的本体论证明入手，可以清楚看到一种“静止的量”的证明如何被斯宾诺莎替换为一种“动态的力量”的证明。进而借助实在性的等级划分，存在的力量在不同事物间实现有效传递。从理智的认识功能出发，理智的力量则在作为无限存在的神与作为有限存在的人的差别中得到显现，通过借助“三数律”，重构斯宾诺莎的“拟人论”批判，阐明作为理智的思想力量在有限理智与无限理智之间的关系，从而证实力量对三元结构的统摄，完成本文的分析论证。</w:t>
      </w:r>
    </w:p>
    <w:p>
      <w:pPr>
        <w:spacing w:line="360" w:lineRule="auto"/>
        <w:ind w:firstLine="480" w:firstLineChars="200"/>
        <w:jc w:val="both"/>
        <w:rPr>
          <w:rFonts w:ascii="宋体" w:hAnsi="宋体" w:eastAsia="宋体"/>
          <w:lang w:val="de-DE"/>
        </w:rPr>
      </w:pPr>
      <w:r>
        <w:rPr>
          <w:rFonts w:hint="eastAsia" w:ascii="宋体" w:hAnsi="宋体" w:eastAsia="宋体"/>
          <w:lang w:val="de-DE"/>
        </w:rPr>
        <w:t>在这一过程中，我们较为清晰地看到斯宾诺莎以“实体”概念为核心的哲学体系背后所蕴涵的“力量”内涵。可以说，斯宾诺莎向我们揭示了“力量”作为一种动态的关系性概念在形而上学体系中占据基础地位的可能路径，从而勾画了一幅现代意义上的“力量形而上学”蓝图。</w:t>
      </w:r>
    </w:p>
    <w:p>
      <w:pPr>
        <w:pStyle w:val="2"/>
        <w:spacing w:before="0" w:after="0"/>
        <w:jc w:val="left"/>
        <w:rPr>
          <w:rFonts w:ascii="黑体" w:hAnsi="黑体" w:eastAsia="黑体" w:cs="黑体"/>
          <w:b w:val="0"/>
          <w:bCs w:val="0"/>
          <w:sz w:val="28"/>
          <w:szCs w:val="28"/>
          <w:lang w:val="de-DE"/>
        </w:rPr>
      </w:pPr>
      <w:r>
        <w:rPr>
          <w:rFonts w:ascii="宋体" w:hAnsi="宋体" w:eastAsia="宋体"/>
          <w:sz w:val="24"/>
          <w:szCs w:val="24"/>
          <w:lang w:val="de-DE"/>
        </w:rPr>
        <w:br w:type="page"/>
      </w:r>
      <w:bookmarkStart w:id="39" w:name="_Toc38901551"/>
      <w:bookmarkStart w:id="40" w:name="_Toc38903792"/>
      <w:r>
        <w:rPr>
          <w:rFonts w:hint="eastAsia" w:ascii="黑体" w:hAnsi="黑体" w:eastAsia="黑体" w:cs="黑体"/>
          <w:b w:val="0"/>
          <w:bCs w:val="0"/>
          <w:sz w:val="28"/>
          <w:szCs w:val="28"/>
          <w:lang w:val="de-DE"/>
        </w:rPr>
        <w:t>参考文献</w:t>
      </w:r>
      <w:bookmarkEnd w:id="39"/>
      <w:bookmarkEnd w:id="40"/>
    </w:p>
    <w:p>
      <w:pPr>
        <w:pStyle w:val="2"/>
        <w:spacing w:before="0" w:after="0"/>
        <w:jc w:val="left"/>
        <w:rPr>
          <w:rFonts w:ascii="黑体" w:hAnsi="黑体" w:eastAsia="黑体" w:cs="黑体"/>
          <w:b w:val="0"/>
          <w:bCs w:val="0"/>
          <w:sz w:val="28"/>
          <w:szCs w:val="28"/>
        </w:rPr>
      </w:pPr>
      <w:r>
        <w:rPr>
          <w:rFonts w:hint="eastAsia" w:ascii="黑体" w:hAnsi="黑体" w:eastAsia="黑体" w:cs="黑体"/>
          <w:b w:val="0"/>
          <w:bCs w:val="0"/>
          <w:sz w:val="28"/>
          <w:szCs w:val="28"/>
        </w:rPr>
        <w:t>原著类</w:t>
      </w:r>
    </w:p>
    <w:p>
      <w:pPr>
        <w:pStyle w:val="15"/>
        <w:numPr>
          <w:ilvl w:val="0"/>
          <w:numId w:val="8"/>
        </w:numPr>
        <w:jc w:val="both"/>
        <w:rPr>
          <w:rFonts w:eastAsia="宋体" w:asciiTheme="majorBidi" w:hAnsiTheme="majorBidi" w:cstheme="majorBidi"/>
          <w:color w:val="000000" w:themeColor="text1"/>
          <w:sz w:val="21"/>
          <w:szCs w:val="21"/>
          <w:lang w:val="de-DE"/>
        </w:rPr>
      </w:pPr>
      <w:r>
        <w:rPr>
          <w:rFonts w:eastAsia="宋体" w:asciiTheme="majorBidi" w:hAnsiTheme="majorBidi" w:cstheme="majorBidi"/>
          <w:color w:val="000000" w:themeColor="text1"/>
          <w:sz w:val="21"/>
          <w:szCs w:val="21"/>
          <w:lang w:val="de-DE"/>
        </w:rPr>
        <w:t>Spinoza</w:t>
      </w:r>
      <w:r>
        <w:rPr>
          <w:rFonts w:hint="eastAsia" w:eastAsia="宋体" w:asciiTheme="majorBidi" w:hAnsiTheme="majorBidi" w:cstheme="majorBidi"/>
          <w:color w:val="000000" w:themeColor="text1"/>
          <w:sz w:val="21"/>
          <w:szCs w:val="21"/>
        </w:rPr>
        <w:t xml:space="preserve"> B D. </w:t>
      </w:r>
      <w:r>
        <w:rPr>
          <w:rFonts w:eastAsia="宋体" w:asciiTheme="majorBidi" w:hAnsiTheme="majorBidi" w:cstheme="majorBidi"/>
          <w:i/>
          <w:iCs/>
          <w:color w:val="000000" w:themeColor="text1"/>
          <w:sz w:val="21"/>
          <w:szCs w:val="21"/>
          <w:lang w:val="de-DE"/>
        </w:rPr>
        <w:t>Ethica Ordine Geometrico Demonstrata</w:t>
      </w:r>
      <w:r>
        <w:rPr>
          <w:rFonts w:eastAsia="宋体" w:asciiTheme="majorBidi" w:hAnsiTheme="majorBidi" w:cstheme="majorBidi"/>
          <w:color w:val="000000" w:themeColor="text1"/>
          <w:sz w:val="21"/>
          <w:szCs w:val="21"/>
          <w:lang w:val="de-DE"/>
        </w:rPr>
        <w:t>, Gebhardt.</w:t>
      </w:r>
    </w:p>
    <w:p>
      <w:pPr>
        <w:pStyle w:val="30"/>
        <w:ind w:left="420" w:firstLine="0" w:firstLineChars="0"/>
        <w:jc w:val="both"/>
        <w:rPr>
          <w:rFonts w:eastAsia="宋体" w:asciiTheme="majorBidi" w:hAnsiTheme="majorBidi" w:cstheme="majorBidi"/>
          <w:sz w:val="21"/>
          <w:szCs w:val="21"/>
          <w:lang w:val="de-DE"/>
        </w:rPr>
      </w:pPr>
      <w:r>
        <w:fldChar w:fldCharType="begin"/>
      </w:r>
      <w:r>
        <w:instrText xml:space="preserve"> HYPERLINK "http://ethicadb.org/index.php?p=&amp;lanid=0&amp;lg=en&amp;ftop=256px" </w:instrText>
      </w:r>
      <w:r>
        <w:fldChar w:fldCharType="separate"/>
      </w:r>
      <w:r>
        <w:rPr>
          <w:rStyle w:val="26"/>
          <w:rFonts w:eastAsia="宋体" w:asciiTheme="majorBidi" w:hAnsiTheme="majorBidi" w:cstheme="majorBidi"/>
          <w:sz w:val="21"/>
          <w:szCs w:val="21"/>
          <w:lang w:val="de-DE"/>
        </w:rPr>
        <w:t>http://ethicadb.org/index.php?p=&amp;lanid=0&amp;lg=en&amp;ftop=256px</w:t>
      </w:r>
      <w:r>
        <w:rPr>
          <w:rStyle w:val="26"/>
          <w:rFonts w:eastAsia="宋体" w:asciiTheme="majorBidi" w:hAnsiTheme="majorBidi" w:cstheme="majorBidi"/>
          <w:sz w:val="21"/>
          <w:szCs w:val="21"/>
          <w:lang w:val="de-DE"/>
        </w:rPr>
        <w:fldChar w:fldCharType="end"/>
      </w:r>
    </w:p>
    <w:p>
      <w:pPr>
        <w:pStyle w:val="15"/>
        <w:numPr>
          <w:ilvl w:val="0"/>
          <w:numId w:val="8"/>
        </w:numPr>
        <w:jc w:val="both"/>
        <w:rPr>
          <w:rFonts w:eastAsia="宋体" w:asciiTheme="majorBidi" w:hAnsiTheme="majorBidi" w:cstheme="majorBidi"/>
          <w:color w:val="000000" w:themeColor="text1"/>
          <w:sz w:val="21"/>
          <w:szCs w:val="21"/>
          <w:lang w:val="de-DE"/>
        </w:rPr>
      </w:pPr>
      <w:r>
        <w:rPr>
          <w:rFonts w:eastAsia="宋体" w:asciiTheme="majorBidi" w:hAnsiTheme="majorBidi" w:cstheme="majorBidi"/>
          <w:color w:val="000000" w:themeColor="text1"/>
          <w:sz w:val="21"/>
          <w:szCs w:val="21"/>
          <w:lang w:val="de-DE"/>
        </w:rPr>
        <w:t>Spinoza</w:t>
      </w:r>
      <w:r>
        <w:rPr>
          <w:rFonts w:hint="eastAsia" w:eastAsia="宋体" w:asciiTheme="majorBidi" w:hAnsiTheme="majorBidi" w:cstheme="majorBidi"/>
          <w:color w:val="000000" w:themeColor="text1"/>
          <w:sz w:val="21"/>
          <w:szCs w:val="21"/>
        </w:rPr>
        <w:t xml:space="preserve"> B D.</w:t>
      </w:r>
      <w:r>
        <w:rPr>
          <w:rFonts w:eastAsia="宋体" w:asciiTheme="majorBidi" w:hAnsiTheme="majorBidi" w:cstheme="majorBidi"/>
          <w:color w:val="000000" w:themeColor="text1"/>
          <w:sz w:val="21"/>
          <w:szCs w:val="21"/>
          <w:lang w:val="de-DE"/>
        </w:rPr>
        <w:t xml:space="preserve"> </w:t>
      </w:r>
      <w:r>
        <w:rPr>
          <w:rFonts w:eastAsia="宋体" w:asciiTheme="majorBidi" w:hAnsiTheme="majorBidi" w:cstheme="majorBidi"/>
          <w:i/>
          <w:iCs/>
          <w:color w:val="000000" w:themeColor="text1"/>
          <w:sz w:val="21"/>
          <w:szCs w:val="21"/>
          <w:lang w:val="de-DE"/>
        </w:rPr>
        <w:t>Ethik in geometrischer Weise behandelt</w:t>
      </w:r>
      <w:r>
        <w:rPr>
          <w:rFonts w:eastAsia="宋体" w:asciiTheme="majorBidi" w:hAnsiTheme="majorBidi" w:cstheme="majorBidi"/>
          <w:color w:val="000000" w:themeColor="text1"/>
          <w:sz w:val="21"/>
          <w:szCs w:val="21"/>
          <w:lang w:val="de-DE"/>
        </w:rPr>
        <w:t>, Stern</w:t>
      </w:r>
      <w:r>
        <w:rPr>
          <w:rFonts w:hint="eastAsia" w:eastAsia="宋体" w:asciiTheme="majorBidi" w:hAnsiTheme="majorBidi" w:cstheme="majorBidi"/>
          <w:color w:val="000000" w:themeColor="text1"/>
          <w:sz w:val="21"/>
          <w:szCs w:val="21"/>
        </w:rPr>
        <w:t xml:space="preserve"> J, trans</w:t>
      </w:r>
      <w:r>
        <w:rPr>
          <w:rFonts w:eastAsia="宋体" w:asciiTheme="majorBidi" w:hAnsiTheme="majorBidi" w:cstheme="majorBidi"/>
          <w:color w:val="000000" w:themeColor="text1"/>
          <w:sz w:val="21"/>
          <w:szCs w:val="21"/>
          <w:lang w:val="de-DE"/>
        </w:rPr>
        <w:t>.</w:t>
      </w:r>
    </w:p>
    <w:p>
      <w:pPr>
        <w:pStyle w:val="30"/>
        <w:ind w:left="420" w:firstLine="0" w:firstLineChars="0"/>
        <w:jc w:val="both"/>
        <w:rPr>
          <w:rFonts w:eastAsia="宋体" w:asciiTheme="majorBidi" w:hAnsiTheme="majorBidi" w:cstheme="majorBidi"/>
          <w:sz w:val="21"/>
          <w:szCs w:val="21"/>
          <w:lang w:val="de-DE"/>
        </w:rPr>
      </w:pPr>
      <w:r>
        <w:fldChar w:fldCharType="begin"/>
      </w:r>
      <w:r>
        <w:instrText xml:space="preserve"> HYPERLINK "http://ethicadb.org/index.php?p=&amp;lanid=7&amp;lg=en&amp;ftop=82px" </w:instrText>
      </w:r>
      <w:r>
        <w:fldChar w:fldCharType="separate"/>
      </w:r>
      <w:r>
        <w:rPr>
          <w:rStyle w:val="26"/>
          <w:rFonts w:eastAsia="宋体" w:asciiTheme="majorBidi" w:hAnsiTheme="majorBidi" w:cstheme="majorBidi"/>
          <w:sz w:val="21"/>
          <w:szCs w:val="21"/>
          <w:lang w:val="de-DE"/>
        </w:rPr>
        <w:t>http://ethicadb.org/index.php?p=&amp;lanid=7&amp;lg=en&amp;ftop=82px</w:t>
      </w:r>
      <w:r>
        <w:rPr>
          <w:rStyle w:val="26"/>
          <w:rFonts w:eastAsia="宋体" w:asciiTheme="majorBidi" w:hAnsiTheme="majorBidi" w:cstheme="majorBidi"/>
          <w:sz w:val="21"/>
          <w:szCs w:val="21"/>
          <w:lang w:val="de-DE"/>
        </w:rPr>
        <w:fldChar w:fldCharType="end"/>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Spinoza</w:t>
      </w:r>
      <w:r>
        <w:rPr>
          <w:rFonts w:hint="eastAsia" w:eastAsia="宋体" w:asciiTheme="majorBidi" w:hAnsiTheme="majorBidi" w:cstheme="majorBidi"/>
          <w:color w:val="000000" w:themeColor="text1"/>
          <w:sz w:val="21"/>
          <w:szCs w:val="21"/>
        </w:rPr>
        <w:t xml:space="preserve"> B D. </w:t>
      </w:r>
      <w:r>
        <w:rPr>
          <w:rFonts w:eastAsia="宋体" w:asciiTheme="majorBidi" w:hAnsiTheme="majorBidi" w:cstheme="majorBidi"/>
          <w:i/>
          <w:iCs/>
          <w:color w:val="000000" w:themeColor="text1"/>
          <w:sz w:val="21"/>
          <w:szCs w:val="21"/>
        </w:rPr>
        <w:t>Sp</w:t>
      </w:r>
      <w:r>
        <w:rPr>
          <w:rFonts w:hint="eastAsia" w:eastAsia="宋体" w:asciiTheme="majorBidi" w:hAnsiTheme="majorBidi" w:cstheme="majorBidi"/>
          <w:i/>
          <w:iCs/>
          <w:color w:val="000000" w:themeColor="text1"/>
          <w:sz w:val="21"/>
          <w:szCs w:val="21"/>
        </w:rPr>
        <w:t>in</w:t>
      </w:r>
      <w:r>
        <w:rPr>
          <w:rFonts w:eastAsia="宋体" w:asciiTheme="majorBidi" w:hAnsiTheme="majorBidi" w:cstheme="majorBidi"/>
          <w:i/>
          <w:iCs/>
          <w:color w:val="000000" w:themeColor="text1"/>
          <w:sz w:val="21"/>
          <w:szCs w:val="21"/>
        </w:rPr>
        <w:t>oza: Complete Work</w:t>
      </w:r>
      <w:r>
        <w:rPr>
          <w:rFonts w:eastAsia="宋体" w:asciiTheme="majorBidi" w:hAnsiTheme="majorBidi" w:cstheme="majorBidi"/>
          <w:color w:val="000000" w:themeColor="text1"/>
          <w:sz w:val="21"/>
          <w:szCs w:val="21"/>
        </w:rPr>
        <w:t xml:space="preserve">, </w:t>
      </w:r>
      <w:r>
        <w:rPr>
          <w:rFonts w:hint="eastAsia" w:eastAsia="宋体" w:asciiTheme="majorBidi" w:hAnsiTheme="majorBidi" w:cstheme="majorBidi"/>
          <w:color w:val="000000" w:themeColor="text1"/>
          <w:sz w:val="21"/>
          <w:szCs w:val="21"/>
        </w:rPr>
        <w:t>Shirley S</w:t>
      </w:r>
      <w:r>
        <w:rPr>
          <w:rFonts w:eastAsia="宋体" w:asciiTheme="majorBidi" w:hAnsiTheme="majorBidi" w:cstheme="majorBidi"/>
          <w:color w:val="000000" w:themeColor="text1"/>
          <w:sz w:val="21"/>
          <w:szCs w:val="21"/>
        </w:rPr>
        <w:t>,</w:t>
      </w:r>
      <w:r>
        <w:rPr>
          <w:rFonts w:hint="eastAsia" w:eastAsia="宋体" w:asciiTheme="majorBidi" w:hAnsiTheme="majorBidi" w:cstheme="majorBidi"/>
          <w:color w:val="000000" w:themeColor="text1"/>
          <w:sz w:val="21"/>
          <w:szCs w:val="21"/>
        </w:rPr>
        <w:t xml:space="preserve"> trans.</w:t>
      </w:r>
      <w:r>
        <w:rPr>
          <w:rFonts w:eastAsia="宋体" w:asciiTheme="majorBidi" w:hAnsiTheme="majorBidi" w:cstheme="majorBidi"/>
          <w:color w:val="000000" w:themeColor="text1"/>
          <w:sz w:val="21"/>
          <w:szCs w:val="21"/>
        </w:rPr>
        <w:t xml:space="preserve"> Hackett Publishing, 2002.</w:t>
      </w:r>
    </w:p>
    <w:p>
      <w:pPr>
        <w:pStyle w:val="30"/>
        <w:numPr>
          <w:ilvl w:val="0"/>
          <w:numId w:val="8"/>
        </w:numPr>
        <w:ind w:firstLineChars="0"/>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lang w:val="fr-FR"/>
        </w:rPr>
        <w:t>Cicero</w:t>
      </w:r>
      <w:r>
        <w:rPr>
          <w:rFonts w:hint="eastAsia" w:eastAsia="宋体" w:asciiTheme="majorBidi" w:hAnsiTheme="majorBidi" w:cstheme="majorBidi"/>
          <w:color w:val="000000" w:themeColor="text1"/>
          <w:sz w:val="21"/>
          <w:szCs w:val="21"/>
        </w:rPr>
        <w:t xml:space="preserve"> T M. </w:t>
      </w:r>
      <w:r>
        <w:rPr>
          <w:rFonts w:eastAsia="宋体" w:asciiTheme="majorBidi" w:hAnsiTheme="majorBidi" w:cstheme="majorBidi"/>
          <w:i/>
          <w:iCs/>
          <w:color w:val="000000" w:themeColor="text1"/>
          <w:sz w:val="21"/>
          <w:szCs w:val="21"/>
          <w:lang w:val="fr-FR"/>
        </w:rPr>
        <w:t>De Finibus Bonurum et Malorum</w:t>
      </w:r>
      <w:r>
        <w:rPr>
          <w:rFonts w:eastAsia="宋体" w:asciiTheme="majorBidi" w:hAnsiTheme="majorBidi" w:cstheme="majorBidi"/>
          <w:color w:val="000000" w:themeColor="text1"/>
          <w:sz w:val="21"/>
          <w:szCs w:val="21"/>
          <w:lang w:val="fr-FR"/>
        </w:rPr>
        <w:t xml:space="preserve">, </w:t>
      </w:r>
      <w:r>
        <w:rPr>
          <w:rFonts w:eastAsia="宋体" w:asciiTheme="majorBidi" w:hAnsiTheme="majorBidi" w:cstheme="majorBidi"/>
          <w:i/>
          <w:iCs/>
          <w:color w:val="000000" w:themeColor="text1"/>
          <w:sz w:val="21"/>
          <w:szCs w:val="21"/>
          <w:lang w:val="fr-FR"/>
        </w:rPr>
        <w:t>Series: Loeb XVII</w:t>
      </w:r>
      <w:r>
        <w:rPr>
          <w:rFonts w:eastAsia="宋体" w:asciiTheme="majorBidi" w:hAnsiTheme="majorBidi" w:cstheme="majorBidi"/>
          <w:color w:val="000000" w:themeColor="text1"/>
          <w:sz w:val="21"/>
          <w:szCs w:val="21"/>
          <w:lang w:val="fr-FR"/>
        </w:rPr>
        <w:t xml:space="preserve">, </w:t>
      </w:r>
      <w:r>
        <w:rPr>
          <w:rFonts w:eastAsia="宋体" w:asciiTheme="majorBidi" w:hAnsiTheme="majorBidi" w:cstheme="majorBidi"/>
          <w:color w:val="000000" w:themeColor="text1"/>
          <w:sz w:val="21"/>
          <w:szCs w:val="21"/>
        </w:rPr>
        <w:t>Rackham</w:t>
      </w:r>
      <w:r>
        <w:rPr>
          <w:rFonts w:hint="eastAsia" w:eastAsia="宋体" w:asciiTheme="majorBidi" w:hAnsiTheme="majorBidi" w:cstheme="majorBidi"/>
          <w:color w:val="000000" w:themeColor="text1"/>
          <w:sz w:val="21"/>
          <w:szCs w:val="21"/>
        </w:rPr>
        <w:t xml:space="preserve"> H</w:t>
      </w:r>
      <w:r>
        <w:rPr>
          <w:rFonts w:eastAsia="宋体" w:asciiTheme="majorBidi" w:hAnsiTheme="majorBidi" w:cstheme="majorBidi"/>
          <w:color w:val="000000" w:themeColor="text1"/>
          <w:sz w:val="21"/>
          <w:szCs w:val="21"/>
        </w:rPr>
        <w:t xml:space="preserve">, </w:t>
      </w:r>
      <w:r>
        <w:rPr>
          <w:rFonts w:hint="eastAsia" w:eastAsia="宋体" w:asciiTheme="majorBidi" w:hAnsiTheme="majorBidi" w:cstheme="majorBidi"/>
          <w:color w:val="000000" w:themeColor="text1"/>
          <w:sz w:val="21"/>
          <w:szCs w:val="21"/>
        </w:rPr>
        <w:t xml:space="preserve">trans. </w:t>
      </w:r>
      <w:r>
        <w:rPr>
          <w:rFonts w:eastAsia="宋体" w:asciiTheme="majorBidi" w:hAnsiTheme="majorBidi" w:cstheme="majorBidi"/>
          <w:color w:val="000000" w:themeColor="text1"/>
          <w:sz w:val="21"/>
          <w:szCs w:val="21"/>
        </w:rPr>
        <w:t>co. London: William Heinemann &amp; New York: Macmillan, 1914.236~239.</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亚里士多德.亚里士多德全集 第1卷.苗力田译.北京：中国人民大学出版社，1990，312~349.</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亚里士多德.亚里士多德全集 第7卷.苗力田译.北京：中国人民大学出版社，1990，254.</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shd w:val="clear" w:color="auto" w:fill="FFFFFF"/>
        </w:rPr>
        <w:t>笛卡尔.哲学原理.关文运译.北京：商务印书馆，1958，1~33.</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shd w:val="clear" w:color="auto" w:fill="FFFFFF"/>
        </w:rPr>
        <w:t>笛卡尔.第一哲学沉思集 反驳和答辩.庞景仁译.北京：商务印书馆，1986，34~75.</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斯宾诺莎.神、人及其幸福简论.洪汉鼎 孙祖培译.南京：译林出版社，2014.</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shd w:val="clear" w:color="auto" w:fill="FFFFFF"/>
        </w:rPr>
        <w:t>斯宾诺莎.笛卡尔哲学原理.王荫庭译.北京：商务印书馆，2019.</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斯宾诺莎.知性改进论.贺麟译.北京：商务印书馆，1960.</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shd w:val="clear" w:color="auto" w:fill="FFFFFF"/>
        </w:rPr>
        <w:t>斯</w:t>
      </w:r>
      <w:r>
        <w:rPr>
          <w:rFonts w:hint="eastAsia" w:ascii="宋体" w:hAnsi="宋体" w:eastAsia="宋体" w:cs="宋体"/>
          <w:color w:val="000000" w:themeColor="text1"/>
          <w:sz w:val="21"/>
          <w:szCs w:val="21"/>
        </w:rPr>
        <w:t>宾诺莎.斯宾诺莎文集·第4卷·伦理学.贺麟译.北京：商务印书馆，2014.</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斯宾诺莎.斯宾诺莎书信集.洪汉鼎译.北京：商务印书馆，1993.</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约翰</w:t>
      </w:r>
      <w:r>
        <w:rPr>
          <w:rFonts w:hint="eastAsia" w:ascii="宋体" w:hAnsi="宋体" w:eastAsia="宋体" w:cs="宋体"/>
          <w:sz w:val="21"/>
          <w:szCs w:val="21"/>
        </w:rPr>
        <w:t>·托兰德</w:t>
      </w:r>
      <w:r>
        <w:rPr>
          <w:rFonts w:hint="eastAsia" w:ascii="宋体" w:hAnsi="宋体" w:eastAsia="宋体" w:cs="宋体"/>
          <w:color w:val="000000" w:themeColor="text1"/>
          <w:sz w:val="21"/>
          <w:szCs w:val="21"/>
        </w:rPr>
        <w:t>.泛神论要义 或一个著名协会的诵文.陈启伟译.北京：商务印书馆，1997，33~34.</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黑格尔.哲学史讲演录 第4卷.贺麟 王太庆译.北京：商务印书馆，2017，94~131.</w:t>
      </w:r>
    </w:p>
    <w:p>
      <w:pPr>
        <w:pStyle w:val="30"/>
        <w:numPr>
          <w:ilvl w:val="0"/>
          <w:numId w:val="8"/>
        </w:numPr>
        <w:ind w:firstLineChars="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怀特海.过程与实在 宇宙论研究.杨富斌译.北京：中国人民大学出版社，2013，8~9，280~283.</w:t>
      </w:r>
    </w:p>
    <w:p>
      <w:pPr>
        <w:rPr>
          <w:rFonts w:ascii="黑体" w:hAnsi="黑体" w:eastAsia="黑体" w:cs="黑体"/>
          <w:sz w:val="28"/>
          <w:szCs w:val="28"/>
        </w:rPr>
      </w:pPr>
      <w:r>
        <w:rPr>
          <w:rFonts w:hint="eastAsia" w:ascii="黑体" w:hAnsi="黑体" w:eastAsia="黑体" w:cs="黑体"/>
          <w:sz w:val="28"/>
          <w:szCs w:val="28"/>
        </w:rPr>
        <w:t>论著类</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Albert</w:t>
      </w:r>
      <w:r>
        <w:rPr>
          <w:rFonts w:hint="eastAsia" w:eastAsia="宋体" w:asciiTheme="majorBidi" w:hAnsiTheme="majorBidi" w:cstheme="majorBidi"/>
          <w:color w:val="000000" w:themeColor="text1"/>
          <w:sz w:val="21"/>
          <w:szCs w:val="21"/>
        </w:rPr>
        <w:t xml:space="preserve"> E</w:t>
      </w:r>
      <w:r>
        <w:rPr>
          <w:rFonts w:eastAsia="宋体" w:asciiTheme="majorBidi" w:hAnsiTheme="majorBidi" w:cstheme="majorBidi"/>
          <w:color w:val="000000" w:themeColor="text1"/>
          <w:sz w:val="21"/>
          <w:szCs w:val="21"/>
        </w:rPr>
        <w:t xml:space="preserve">. </w:t>
      </w:r>
      <w:r>
        <w:rPr>
          <w:rFonts w:eastAsia="宋体" w:asciiTheme="majorBidi" w:hAnsiTheme="majorBidi" w:cstheme="majorBidi"/>
          <w:i/>
          <w:iCs/>
          <w:color w:val="000000" w:themeColor="text1"/>
          <w:sz w:val="21"/>
          <w:szCs w:val="21"/>
        </w:rPr>
        <w:t>Towards A Schizogeneaology of Heretical Materialism: Between Bruno and Spinoza, Nietzsche, Deleuze and other Philosophical Recluses</w:t>
      </w:r>
      <w:r>
        <w:rPr>
          <w:rFonts w:eastAsia="宋体" w:asciiTheme="majorBidi" w:hAnsiTheme="majorBidi" w:cstheme="majorBidi"/>
          <w:color w:val="000000" w:themeColor="text1"/>
          <w:sz w:val="21"/>
          <w:szCs w:val="21"/>
        </w:rPr>
        <w:t>:[Doctoral Thesis].University of Warwick, 1999</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139~190.</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Alliez</w:t>
      </w:r>
      <w:r>
        <w:rPr>
          <w:rFonts w:hint="eastAsia" w:eastAsia="宋体" w:asciiTheme="majorBidi" w:hAnsiTheme="majorBidi" w:cstheme="majorBidi"/>
          <w:color w:val="000000" w:themeColor="text1"/>
          <w:sz w:val="21"/>
          <w:szCs w:val="21"/>
        </w:rPr>
        <w:t xml:space="preserve"> E</w:t>
      </w:r>
      <w:r>
        <w:rPr>
          <w:rFonts w:eastAsia="宋体" w:asciiTheme="majorBidi" w:hAnsiTheme="majorBidi" w:cstheme="majorBidi"/>
          <w:color w:val="000000" w:themeColor="text1"/>
          <w:sz w:val="21"/>
          <w:szCs w:val="21"/>
        </w:rPr>
        <w:t xml:space="preserve">. </w:t>
      </w:r>
      <w:r>
        <w:rPr>
          <w:rFonts w:eastAsia="宋体" w:asciiTheme="majorBidi" w:hAnsiTheme="majorBidi" w:cstheme="majorBidi"/>
          <w:i/>
          <w:iCs/>
          <w:color w:val="000000" w:themeColor="text1"/>
          <w:sz w:val="21"/>
          <w:szCs w:val="21"/>
        </w:rPr>
        <w:t>Capital Times: Tales from the Conquest of Time</w:t>
      </w:r>
      <w:r>
        <w:rPr>
          <w:rFonts w:eastAsia="宋体" w:asciiTheme="majorBidi" w:hAnsiTheme="majorBidi" w:cstheme="majorBidi"/>
          <w:color w:val="000000" w:themeColor="text1"/>
          <w:sz w:val="21"/>
          <w:szCs w:val="21"/>
        </w:rPr>
        <w:t xml:space="preserve">, Abbeele </w:t>
      </w:r>
      <w:r>
        <w:rPr>
          <w:rFonts w:hint="eastAsia" w:eastAsia="宋体" w:asciiTheme="majorBidi" w:hAnsiTheme="majorBidi" w:cstheme="majorBidi"/>
          <w:color w:val="000000" w:themeColor="text1"/>
          <w:sz w:val="21"/>
          <w:szCs w:val="21"/>
        </w:rPr>
        <w:t xml:space="preserve">G V D, </w:t>
      </w:r>
      <w:r>
        <w:rPr>
          <w:rFonts w:eastAsia="宋体" w:asciiTheme="majorBidi" w:hAnsiTheme="majorBidi" w:cstheme="majorBidi"/>
          <w:color w:val="000000" w:themeColor="text1"/>
          <w:sz w:val="21"/>
          <w:szCs w:val="21"/>
        </w:rPr>
        <w:t>trans.</w:t>
      </w:r>
      <w:r>
        <w:rPr>
          <w:rFonts w:hint="eastAsia" w:eastAsia="宋体" w:asciiTheme="majorBidi" w:hAnsiTheme="majorBidi" w:cstheme="majorBidi"/>
          <w:color w:val="000000" w:themeColor="text1"/>
          <w:sz w:val="21"/>
          <w:szCs w:val="21"/>
        </w:rPr>
        <w:t xml:space="preserve"> </w:t>
      </w:r>
      <w:r>
        <w:rPr>
          <w:rFonts w:eastAsia="宋体" w:asciiTheme="majorBidi" w:hAnsiTheme="majorBidi" w:cstheme="majorBidi"/>
          <w:color w:val="000000" w:themeColor="text1"/>
          <w:sz w:val="21"/>
          <w:szCs w:val="21"/>
        </w:rPr>
        <w:t xml:space="preserve"> Minneapolis: University of Minnesota Press, 1996</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68.</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Garret</w:t>
      </w:r>
      <w:r>
        <w:rPr>
          <w:rFonts w:hint="eastAsia" w:eastAsia="宋体" w:asciiTheme="majorBidi" w:hAnsiTheme="majorBidi" w:cstheme="majorBidi"/>
          <w:color w:val="000000" w:themeColor="text1"/>
          <w:sz w:val="21"/>
          <w:szCs w:val="21"/>
        </w:rPr>
        <w:t xml:space="preserve"> D. </w:t>
      </w:r>
      <w:r>
        <w:rPr>
          <w:rFonts w:eastAsia="宋体" w:asciiTheme="majorBidi" w:hAnsiTheme="majorBidi" w:cstheme="majorBidi"/>
          <w:color w:val="000000" w:themeColor="text1"/>
          <w:sz w:val="21"/>
          <w:szCs w:val="21"/>
        </w:rPr>
        <w:t>Spinoza’s Conatus Argument. In:</w:t>
      </w:r>
      <w:r>
        <w:rPr>
          <w:rFonts w:hint="eastAsia" w:eastAsia="宋体" w:asciiTheme="majorBidi" w:hAnsiTheme="majorBidi" w:cstheme="majorBidi"/>
          <w:color w:val="000000" w:themeColor="text1"/>
          <w:sz w:val="21"/>
          <w:szCs w:val="21"/>
        </w:rPr>
        <w:t xml:space="preserve"> </w:t>
      </w:r>
      <w:r>
        <w:rPr>
          <w:rFonts w:eastAsia="宋体" w:asciiTheme="majorBidi" w:hAnsiTheme="majorBidi" w:cstheme="majorBidi"/>
          <w:color w:val="000000" w:themeColor="text1"/>
          <w:sz w:val="21"/>
          <w:szCs w:val="21"/>
        </w:rPr>
        <w:t>Garrett</w:t>
      </w:r>
      <w:r>
        <w:rPr>
          <w:rFonts w:hint="eastAsia" w:eastAsia="宋体" w:asciiTheme="majorBidi" w:hAnsiTheme="majorBidi" w:cstheme="majorBidi"/>
          <w:color w:val="000000" w:themeColor="text1"/>
          <w:sz w:val="21"/>
          <w:szCs w:val="21"/>
        </w:rPr>
        <w:t xml:space="preserve"> D</w:t>
      </w:r>
      <w:r>
        <w:rPr>
          <w:rFonts w:eastAsia="宋体" w:asciiTheme="majorBidi" w:hAnsiTheme="majorBidi" w:cstheme="majorBidi"/>
          <w:color w:val="000000" w:themeColor="text1"/>
          <w:sz w:val="21"/>
          <w:szCs w:val="21"/>
        </w:rPr>
        <w:t xml:space="preserve">, eds. </w:t>
      </w:r>
      <w:r>
        <w:rPr>
          <w:rFonts w:eastAsia="宋体" w:asciiTheme="majorBidi" w:hAnsiTheme="majorBidi" w:cstheme="majorBidi"/>
          <w:i/>
          <w:iCs/>
          <w:color w:val="000000" w:themeColor="text1"/>
          <w:sz w:val="21"/>
          <w:szCs w:val="21"/>
        </w:rPr>
        <w:t>Nature and Necessity in Spinoza’s Philosophy</w:t>
      </w:r>
      <w:r>
        <w:rPr>
          <w:rFonts w:eastAsia="宋体" w:asciiTheme="majorBidi" w:hAnsiTheme="majorBidi" w:cstheme="majorBidi"/>
          <w:color w:val="000000" w:themeColor="text1"/>
          <w:sz w:val="21"/>
          <w:szCs w:val="21"/>
        </w:rPr>
        <w:t>. Oxford: Oxford University Press, 2018</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352~354.</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Griffin</w:t>
      </w:r>
      <w:r>
        <w:rPr>
          <w:rFonts w:hint="eastAsia" w:eastAsia="宋体" w:asciiTheme="majorBidi" w:hAnsiTheme="majorBidi" w:cstheme="majorBidi"/>
          <w:color w:val="000000" w:themeColor="text1"/>
          <w:sz w:val="21"/>
          <w:szCs w:val="21"/>
        </w:rPr>
        <w:t xml:space="preserve"> M V</w:t>
      </w:r>
      <w:r>
        <w:rPr>
          <w:rFonts w:eastAsia="宋体" w:asciiTheme="majorBidi" w:hAnsiTheme="majorBidi" w:cstheme="majorBidi"/>
          <w:color w:val="000000" w:themeColor="text1"/>
          <w:sz w:val="21"/>
          <w:szCs w:val="21"/>
        </w:rPr>
        <w:t>. Necessitarianism in Spinoza and Leibniz. In: Huenemann</w:t>
      </w:r>
      <w:r>
        <w:rPr>
          <w:rFonts w:hint="eastAsia" w:eastAsia="宋体" w:asciiTheme="majorBidi" w:hAnsiTheme="majorBidi" w:cstheme="majorBidi"/>
          <w:color w:val="000000" w:themeColor="text1"/>
          <w:sz w:val="21"/>
          <w:szCs w:val="21"/>
        </w:rPr>
        <w:t xml:space="preserve"> C</w:t>
      </w:r>
      <w:r>
        <w:rPr>
          <w:rFonts w:eastAsia="宋体" w:asciiTheme="majorBidi" w:hAnsiTheme="majorBidi" w:cstheme="majorBidi"/>
          <w:color w:val="000000" w:themeColor="text1"/>
          <w:sz w:val="21"/>
          <w:szCs w:val="21"/>
        </w:rPr>
        <w:t xml:space="preserve">, eds. </w:t>
      </w:r>
      <w:r>
        <w:rPr>
          <w:rFonts w:eastAsia="宋体" w:asciiTheme="majorBidi" w:hAnsiTheme="majorBidi" w:cstheme="majorBidi"/>
          <w:i/>
          <w:iCs/>
          <w:color w:val="000000" w:themeColor="text1"/>
          <w:sz w:val="21"/>
          <w:szCs w:val="21"/>
        </w:rPr>
        <w:t>Interpreting Spinoza: Critical Essays</w:t>
      </w:r>
      <w:r>
        <w:rPr>
          <w:rFonts w:eastAsia="宋体" w:asciiTheme="majorBidi" w:hAnsiTheme="majorBidi" w:cstheme="majorBidi"/>
          <w:color w:val="000000" w:themeColor="text1"/>
          <w:sz w:val="21"/>
          <w:szCs w:val="21"/>
        </w:rPr>
        <w:t>. Cambridge: Cambridge University Press, 2008</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71~93.</w:t>
      </w:r>
    </w:p>
    <w:p>
      <w:pPr>
        <w:pStyle w:val="30"/>
        <w:numPr>
          <w:ilvl w:val="0"/>
          <w:numId w:val="8"/>
        </w:numPr>
        <w:ind w:firstLineChars="0"/>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Howie</w:t>
      </w:r>
      <w:r>
        <w:rPr>
          <w:rFonts w:hint="eastAsia" w:eastAsia="宋体" w:asciiTheme="majorBidi" w:hAnsiTheme="majorBidi" w:cstheme="majorBidi"/>
          <w:color w:val="000000" w:themeColor="text1"/>
          <w:sz w:val="21"/>
          <w:szCs w:val="21"/>
        </w:rPr>
        <w:t xml:space="preserve"> G</w:t>
      </w:r>
      <w:r>
        <w:rPr>
          <w:rFonts w:eastAsia="宋体" w:asciiTheme="majorBidi" w:hAnsiTheme="majorBidi" w:cstheme="majorBidi"/>
          <w:color w:val="000000" w:themeColor="text1"/>
          <w:sz w:val="21"/>
          <w:szCs w:val="21"/>
        </w:rPr>
        <w:t xml:space="preserve">. </w:t>
      </w:r>
      <w:r>
        <w:rPr>
          <w:rFonts w:eastAsia="宋体" w:asciiTheme="majorBidi" w:hAnsiTheme="majorBidi" w:cstheme="majorBidi"/>
          <w:i/>
          <w:iCs/>
          <w:color w:val="000000" w:themeColor="text1"/>
          <w:sz w:val="21"/>
          <w:szCs w:val="21"/>
        </w:rPr>
        <w:t>Deleuze and Spinoza: Aura of Expressionism</w:t>
      </w:r>
      <w:r>
        <w:rPr>
          <w:rFonts w:eastAsia="宋体" w:asciiTheme="majorBidi" w:hAnsiTheme="majorBidi" w:cstheme="majorBidi"/>
          <w:color w:val="000000" w:themeColor="text1"/>
          <w:sz w:val="21"/>
          <w:szCs w:val="21"/>
        </w:rPr>
        <w:t>, New York: PALGRAVE, 2002</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1~70.</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Jammer</w:t>
      </w:r>
      <w:r>
        <w:rPr>
          <w:rFonts w:hint="eastAsia" w:eastAsia="宋体" w:asciiTheme="majorBidi" w:hAnsiTheme="majorBidi" w:cstheme="majorBidi"/>
          <w:color w:val="000000" w:themeColor="text1"/>
          <w:sz w:val="21"/>
          <w:szCs w:val="21"/>
        </w:rPr>
        <w:t xml:space="preserve"> M</w:t>
      </w:r>
      <w:r>
        <w:rPr>
          <w:rFonts w:eastAsia="宋体" w:asciiTheme="majorBidi" w:hAnsiTheme="majorBidi" w:cstheme="majorBidi"/>
          <w:color w:val="000000" w:themeColor="text1"/>
          <w:sz w:val="21"/>
          <w:szCs w:val="21"/>
        </w:rPr>
        <w:t xml:space="preserve">. </w:t>
      </w:r>
      <w:r>
        <w:rPr>
          <w:rFonts w:eastAsia="宋体" w:asciiTheme="majorBidi" w:hAnsiTheme="majorBidi" w:cstheme="majorBidi"/>
          <w:i/>
          <w:iCs/>
          <w:color w:val="000000" w:themeColor="text1"/>
          <w:sz w:val="21"/>
          <w:szCs w:val="21"/>
        </w:rPr>
        <w:t>Concept of Force: A Study in the Foundations of Dynamics.</w:t>
      </w:r>
      <w:r>
        <w:rPr>
          <w:rFonts w:eastAsia="宋体" w:asciiTheme="majorBidi" w:hAnsiTheme="majorBidi" w:cstheme="majorBidi"/>
          <w:color w:val="000000" w:themeColor="text1"/>
          <w:sz w:val="21"/>
          <w:szCs w:val="21"/>
        </w:rPr>
        <w:t xml:space="preserve"> New York: Harper, 1962</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116~157.</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Jaquet</w:t>
      </w:r>
      <w:r>
        <w:rPr>
          <w:rFonts w:hint="eastAsia" w:eastAsia="宋体" w:asciiTheme="majorBidi" w:hAnsiTheme="majorBidi" w:cstheme="majorBidi"/>
          <w:color w:val="000000" w:themeColor="text1"/>
          <w:sz w:val="21"/>
          <w:szCs w:val="21"/>
        </w:rPr>
        <w:t xml:space="preserve"> C.</w:t>
      </w:r>
      <w:r>
        <w:rPr>
          <w:rFonts w:eastAsia="宋体" w:asciiTheme="majorBidi" w:hAnsiTheme="majorBidi" w:cstheme="majorBidi"/>
          <w:color w:val="000000" w:themeColor="text1"/>
          <w:sz w:val="21"/>
          <w:szCs w:val="21"/>
        </w:rPr>
        <w:t xml:space="preserve"> </w:t>
      </w:r>
      <w:r>
        <w:rPr>
          <w:rFonts w:eastAsia="宋体" w:asciiTheme="majorBidi" w:hAnsiTheme="majorBidi" w:cstheme="majorBidi"/>
          <w:i/>
          <w:iCs/>
          <w:color w:val="000000" w:themeColor="text1"/>
          <w:sz w:val="21"/>
          <w:szCs w:val="21"/>
        </w:rPr>
        <w:t>Potestas</w:t>
      </w:r>
      <w:r>
        <w:rPr>
          <w:rFonts w:eastAsia="宋体" w:asciiTheme="majorBidi" w:hAnsiTheme="majorBidi" w:cstheme="majorBidi"/>
          <w:color w:val="000000" w:themeColor="text1"/>
          <w:sz w:val="21"/>
          <w:szCs w:val="21"/>
        </w:rPr>
        <w:t xml:space="preserve">. In: </w:t>
      </w:r>
      <w:r>
        <w:rPr>
          <w:rFonts w:eastAsia="宋体" w:asciiTheme="majorBidi" w:hAnsiTheme="majorBidi" w:cstheme="majorBidi"/>
          <w:i/>
          <w:iCs/>
          <w:color w:val="000000" w:themeColor="text1"/>
          <w:sz w:val="21"/>
          <w:szCs w:val="21"/>
        </w:rPr>
        <w:t xml:space="preserve">The Continuum Companion to </w:t>
      </w:r>
      <w:r>
        <w:rPr>
          <w:rFonts w:hint="eastAsia" w:eastAsia="宋体" w:asciiTheme="majorBidi" w:hAnsiTheme="majorBidi" w:cstheme="majorBidi"/>
          <w:i/>
          <w:iCs/>
          <w:color w:val="000000" w:themeColor="text1"/>
          <w:sz w:val="21"/>
          <w:szCs w:val="21"/>
        </w:rPr>
        <w:t>Spinoza</w:t>
      </w:r>
      <w:r>
        <w:rPr>
          <w:rFonts w:eastAsia="宋体" w:asciiTheme="majorBidi" w:hAnsiTheme="majorBidi" w:cstheme="majorBidi"/>
          <w:color w:val="000000" w:themeColor="text1"/>
          <w:sz w:val="21"/>
          <w:szCs w:val="21"/>
        </w:rPr>
        <w:t>, Bunge</w:t>
      </w:r>
      <w:r>
        <w:rPr>
          <w:rFonts w:hint="eastAsia" w:eastAsia="宋体" w:asciiTheme="majorBidi" w:hAnsiTheme="majorBidi" w:cstheme="majorBidi"/>
          <w:color w:val="000000" w:themeColor="text1"/>
          <w:sz w:val="21"/>
          <w:szCs w:val="21"/>
        </w:rPr>
        <w:t xml:space="preserve"> W V</w:t>
      </w:r>
      <w:r>
        <w:rPr>
          <w:rFonts w:eastAsia="宋体" w:asciiTheme="majorBidi" w:hAnsiTheme="majorBidi" w:cstheme="majorBidi"/>
          <w:color w:val="000000" w:themeColor="text1"/>
          <w:sz w:val="21"/>
          <w:szCs w:val="21"/>
        </w:rPr>
        <w:t>, Krop</w:t>
      </w:r>
      <w:r>
        <w:rPr>
          <w:rFonts w:hint="eastAsia" w:eastAsia="宋体" w:asciiTheme="majorBidi" w:hAnsiTheme="majorBidi" w:cstheme="majorBidi"/>
          <w:color w:val="000000" w:themeColor="text1"/>
          <w:sz w:val="21"/>
          <w:szCs w:val="21"/>
        </w:rPr>
        <w:t xml:space="preserve"> H</w:t>
      </w:r>
      <w:r>
        <w:rPr>
          <w:rFonts w:eastAsia="宋体" w:asciiTheme="majorBidi" w:hAnsiTheme="majorBidi" w:cstheme="majorBidi"/>
          <w:color w:val="000000" w:themeColor="text1"/>
          <w:sz w:val="21"/>
          <w:szCs w:val="21"/>
        </w:rPr>
        <w:t>, Steenbakkers</w:t>
      </w:r>
      <w:r>
        <w:rPr>
          <w:rFonts w:hint="eastAsia" w:eastAsia="宋体" w:asciiTheme="majorBidi" w:hAnsiTheme="majorBidi" w:cstheme="majorBidi"/>
          <w:color w:val="000000" w:themeColor="text1"/>
          <w:sz w:val="21"/>
          <w:szCs w:val="21"/>
        </w:rPr>
        <w:t xml:space="preserve"> P</w:t>
      </w:r>
      <w:r>
        <w:rPr>
          <w:rFonts w:eastAsia="宋体" w:asciiTheme="majorBidi" w:hAnsiTheme="majorBidi" w:cstheme="majorBidi"/>
          <w:color w:val="000000" w:themeColor="text1"/>
          <w:sz w:val="21"/>
          <w:szCs w:val="21"/>
        </w:rPr>
        <w:t>, Ven</w:t>
      </w:r>
      <w:r>
        <w:rPr>
          <w:rFonts w:hint="eastAsia" w:eastAsia="宋体" w:asciiTheme="majorBidi" w:hAnsiTheme="majorBidi" w:cstheme="majorBidi"/>
          <w:color w:val="000000" w:themeColor="text1"/>
          <w:sz w:val="21"/>
          <w:szCs w:val="21"/>
        </w:rPr>
        <w:t xml:space="preserve"> J V D</w:t>
      </w:r>
      <w:r>
        <w:rPr>
          <w:rFonts w:eastAsia="宋体" w:asciiTheme="majorBidi" w:hAnsiTheme="majorBidi" w:cstheme="majorBidi"/>
          <w:color w:val="000000" w:themeColor="text1"/>
          <w:sz w:val="21"/>
          <w:szCs w:val="21"/>
        </w:rPr>
        <w:t>, eds. Continuum, 2011</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29</w:t>
      </w:r>
      <w:r>
        <w:rPr>
          <w:rFonts w:hint="eastAsia" w:eastAsia="宋体" w:asciiTheme="majorBidi" w:hAnsiTheme="majorBidi" w:cstheme="majorBidi"/>
          <w:color w:val="000000" w:themeColor="text1"/>
          <w:sz w:val="21"/>
          <w:szCs w:val="21"/>
        </w:rPr>
        <w:t>1</w:t>
      </w:r>
      <w:r>
        <w:rPr>
          <w:rFonts w:eastAsia="宋体" w:asciiTheme="majorBidi" w:hAnsiTheme="majorBidi" w:cstheme="majorBidi"/>
          <w:color w:val="000000" w:themeColor="text1"/>
          <w:sz w:val="21"/>
          <w:szCs w:val="21"/>
        </w:rPr>
        <w:t>~29</w:t>
      </w:r>
      <w:r>
        <w:rPr>
          <w:rFonts w:hint="eastAsia" w:eastAsia="宋体" w:asciiTheme="majorBidi" w:hAnsiTheme="majorBidi" w:cstheme="majorBidi"/>
          <w:color w:val="000000" w:themeColor="text1"/>
          <w:sz w:val="21"/>
          <w:szCs w:val="21"/>
        </w:rPr>
        <w:t>4</w:t>
      </w:r>
      <w:r>
        <w:rPr>
          <w:rFonts w:eastAsia="宋体" w:asciiTheme="majorBidi" w:hAnsiTheme="majorBidi" w:cstheme="majorBidi"/>
          <w:color w:val="000000" w:themeColor="text1"/>
          <w:sz w:val="21"/>
          <w:szCs w:val="21"/>
        </w:rPr>
        <w:t>.</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Macherey</w:t>
      </w:r>
      <w:r>
        <w:rPr>
          <w:rFonts w:hint="eastAsia" w:eastAsia="宋体" w:asciiTheme="majorBidi" w:hAnsiTheme="majorBidi" w:cstheme="majorBidi"/>
          <w:color w:val="000000" w:themeColor="text1"/>
          <w:sz w:val="21"/>
          <w:szCs w:val="21"/>
        </w:rPr>
        <w:t xml:space="preserve"> P.</w:t>
      </w:r>
      <w:r>
        <w:rPr>
          <w:rFonts w:eastAsia="宋体" w:asciiTheme="majorBidi" w:hAnsiTheme="majorBidi" w:cstheme="majorBidi"/>
          <w:color w:val="000000" w:themeColor="text1"/>
          <w:sz w:val="21"/>
          <w:szCs w:val="21"/>
        </w:rPr>
        <w:t xml:space="preserve"> </w:t>
      </w:r>
      <w:r>
        <w:rPr>
          <w:rFonts w:eastAsia="宋体" w:asciiTheme="majorBidi" w:hAnsiTheme="majorBidi" w:cstheme="majorBidi"/>
          <w:i/>
          <w:iCs/>
          <w:color w:val="000000" w:themeColor="text1"/>
          <w:sz w:val="21"/>
          <w:szCs w:val="21"/>
        </w:rPr>
        <w:t>Hegel or Spinoza</w:t>
      </w:r>
      <w:r>
        <w:rPr>
          <w:rFonts w:eastAsia="宋体" w:asciiTheme="majorBidi" w:hAnsiTheme="majorBidi" w:cstheme="majorBidi"/>
          <w:color w:val="000000" w:themeColor="text1"/>
          <w:sz w:val="21"/>
          <w:szCs w:val="21"/>
        </w:rPr>
        <w:t>.</w:t>
      </w:r>
      <w:r>
        <w:rPr>
          <w:rFonts w:hint="eastAsia" w:eastAsia="宋体" w:asciiTheme="majorBidi" w:hAnsiTheme="majorBidi" w:cstheme="majorBidi"/>
          <w:color w:val="000000" w:themeColor="text1"/>
          <w:sz w:val="21"/>
          <w:szCs w:val="21"/>
        </w:rPr>
        <w:t xml:space="preserve"> </w:t>
      </w:r>
      <w:r>
        <w:rPr>
          <w:rFonts w:eastAsia="宋体" w:asciiTheme="majorBidi" w:hAnsiTheme="majorBidi" w:cstheme="majorBidi"/>
          <w:color w:val="000000" w:themeColor="text1"/>
          <w:sz w:val="21"/>
          <w:szCs w:val="21"/>
        </w:rPr>
        <w:t>Ruddick</w:t>
      </w:r>
      <w:r>
        <w:rPr>
          <w:rFonts w:hint="eastAsia" w:eastAsia="宋体" w:asciiTheme="majorBidi" w:hAnsiTheme="majorBidi" w:cstheme="majorBidi"/>
          <w:color w:val="000000" w:themeColor="text1"/>
          <w:sz w:val="21"/>
          <w:szCs w:val="21"/>
        </w:rPr>
        <w:t xml:space="preserve"> S M</w:t>
      </w:r>
      <w:r>
        <w:rPr>
          <w:rFonts w:eastAsia="宋体" w:asciiTheme="majorBidi" w:hAnsiTheme="majorBidi" w:cstheme="majorBidi"/>
          <w:color w:val="000000" w:themeColor="text1"/>
          <w:sz w:val="21"/>
          <w:szCs w:val="21"/>
        </w:rPr>
        <w:t>, trans. Minneapolis: University of Minnesota Press,</w:t>
      </w:r>
      <w:r>
        <w:rPr>
          <w:rFonts w:hint="eastAsia" w:eastAsia="宋体" w:asciiTheme="majorBidi" w:hAnsiTheme="majorBidi" w:cstheme="majorBidi"/>
          <w:color w:val="000000" w:themeColor="text1"/>
          <w:sz w:val="21"/>
          <w:szCs w:val="21"/>
        </w:rPr>
        <w:t xml:space="preserve"> </w:t>
      </w:r>
      <w:r>
        <w:rPr>
          <w:rFonts w:eastAsia="宋体" w:asciiTheme="majorBidi" w:hAnsiTheme="majorBidi" w:cstheme="majorBidi"/>
          <w:color w:val="000000" w:themeColor="text1"/>
          <w:sz w:val="21"/>
          <w:szCs w:val="21"/>
        </w:rPr>
        <w:t>2011</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13~32.</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Montagnes</w:t>
      </w:r>
      <w:r>
        <w:rPr>
          <w:rFonts w:hint="eastAsia" w:eastAsia="宋体" w:asciiTheme="majorBidi" w:hAnsiTheme="majorBidi" w:cstheme="majorBidi"/>
          <w:color w:val="000000" w:themeColor="text1"/>
          <w:sz w:val="21"/>
          <w:szCs w:val="21"/>
        </w:rPr>
        <w:t xml:space="preserve"> B</w:t>
      </w:r>
      <w:r>
        <w:rPr>
          <w:rFonts w:eastAsia="宋体" w:asciiTheme="majorBidi" w:hAnsiTheme="majorBidi" w:cstheme="majorBidi"/>
          <w:color w:val="000000" w:themeColor="text1"/>
          <w:sz w:val="21"/>
          <w:szCs w:val="21"/>
        </w:rPr>
        <w:t xml:space="preserve">. </w:t>
      </w:r>
      <w:r>
        <w:rPr>
          <w:rFonts w:eastAsia="宋体" w:asciiTheme="majorBidi" w:hAnsiTheme="majorBidi" w:cstheme="majorBidi"/>
          <w:i/>
          <w:iCs/>
          <w:color w:val="000000" w:themeColor="text1"/>
          <w:sz w:val="21"/>
          <w:szCs w:val="21"/>
        </w:rPr>
        <w:t>The Doctrine of the Analogy of Being according to Thomas Aquinas</w:t>
      </w:r>
      <w:r>
        <w:rPr>
          <w:rFonts w:eastAsia="宋体" w:asciiTheme="majorBidi" w:hAnsiTheme="majorBidi" w:cstheme="majorBidi"/>
          <w:color w:val="000000" w:themeColor="text1"/>
          <w:sz w:val="21"/>
          <w:szCs w:val="21"/>
        </w:rPr>
        <w:t>, Macierowski</w:t>
      </w:r>
      <w:r>
        <w:rPr>
          <w:rFonts w:hint="eastAsia" w:eastAsia="宋体" w:asciiTheme="majorBidi" w:hAnsiTheme="majorBidi" w:cstheme="majorBidi"/>
          <w:color w:val="000000" w:themeColor="text1"/>
          <w:sz w:val="21"/>
          <w:szCs w:val="21"/>
        </w:rPr>
        <w:t xml:space="preserve"> E M, </w:t>
      </w:r>
      <w:r>
        <w:rPr>
          <w:rFonts w:eastAsia="宋体" w:asciiTheme="majorBidi" w:hAnsiTheme="majorBidi" w:cstheme="majorBidi"/>
          <w:color w:val="000000" w:themeColor="text1"/>
          <w:sz w:val="21"/>
          <w:szCs w:val="21"/>
        </w:rPr>
        <w:t>trans.</w:t>
      </w:r>
      <w:r>
        <w:rPr>
          <w:rFonts w:hint="eastAsia" w:eastAsia="宋体" w:asciiTheme="majorBidi" w:hAnsiTheme="majorBidi" w:cstheme="majorBidi"/>
          <w:color w:val="000000" w:themeColor="text1"/>
          <w:sz w:val="21"/>
          <w:szCs w:val="21"/>
        </w:rPr>
        <w:t xml:space="preserve"> </w:t>
      </w:r>
      <w:r>
        <w:rPr>
          <w:rFonts w:eastAsia="宋体" w:asciiTheme="majorBidi" w:hAnsiTheme="majorBidi" w:cstheme="majorBidi"/>
          <w:color w:val="000000" w:themeColor="text1"/>
          <w:sz w:val="21"/>
          <w:szCs w:val="21"/>
        </w:rPr>
        <w:t>Marquette University Press, 2004</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6~112.</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Nadler</w:t>
      </w:r>
      <w:r>
        <w:rPr>
          <w:rFonts w:hint="eastAsia" w:eastAsia="宋体" w:asciiTheme="majorBidi" w:hAnsiTheme="majorBidi" w:cstheme="majorBidi"/>
          <w:color w:val="000000" w:themeColor="text1"/>
          <w:sz w:val="21"/>
          <w:szCs w:val="21"/>
        </w:rPr>
        <w:t xml:space="preserve"> S</w:t>
      </w:r>
      <w:r>
        <w:rPr>
          <w:rFonts w:eastAsia="宋体" w:asciiTheme="majorBidi" w:hAnsiTheme="majorBidi" w:cstheme="majorBidi"/>
          <w:color w:val="000000" w:themeColor="text1"/>
          <w:sz w:val="21"/>
          <w:szCs w:val="21"/>
        </w:rPr>
        <w:t>. “Whatever is, is in God”: substance and things’ in Spinoza’s metaphysics. In: Huenemann</w:t>
      </w:r>
      <w:r>
        <w:rPr>
          <w:rFonts w:hint="eastAsia" w:eastAsia="宋体" w:asciiTheme="majorBidi" w:hAnsiTheme="majorBidi" w:cstheme="majorBidi"/>
          <w:color w:val="000000" w:themeColor="text1"/>
          <w:sz w:val="21"/>
          <w:szCs w:val="21"/>
        </w:rPr>
        <w:t xml:space="preserve"> C</w:t>
      </w:r>
      <w:r>
        <w:rPr>
          <w:rFonts w:eastAsia="宋体" w:asciiTheme="majorBidi" w:hAnsiTheme="majorBidi" w:cstheme="majorBidi"/>
          <w:color w:val="000000" w:themeColor="text1"/>
          <w:sz w:val="21"/>
          <w:szCs w:val="21"/>
        </w:rPr>
        <w:t xml:space="preserve">, eds. </w:t>
      </w:r>
      <w:r>
        <w:rPr>
          <w:rFonts w:eastAsia="宋体" w:asciiTheme="majorBidi" w:hAnsiTheme="majorBidi" w:cstheme="majorBidi"/>
          <w:i/>
          <w:iCs/>
          <w:color w:val="000000" w:themeColor="text1"/>
          <w:sz w:val="21"/>
          <w:szCs w:val="21"/>
        </w:rPr>
        <w:t>Interpreting Spinoza: Critical Essays</w:t>
      </w:r>
      <w:r>
        <w:rPr>
          <w:rFonts w:eastAsia="宋体" w:asciiTheme="majorBidi" w:hAnsiTheme="majorBidi" w:cstheme="majorBidi"/>
          <w:color w:val="000000" w:themeColor="text1"/>
          <w:sz w:val="21"/>
          <w:szCs w:val="21"/>
        </w:rPr>
        <w:t>. Cambridge: Cambridge University Press, 2008</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53~70.</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lang w:val="fr-FR"/>
        </w:rPr>
        <w:t>Popkin</w:t>
      </w:r>
      <w:r>
        <w:rPr>
          <w:rFonts w:hint="eastAsia" w:eastAsia="宋体" w:asciiTheme="majorBidi" w:hAnsiTheme="majorBidi" w:cstheme="majorBidi"/>
          <w:color w:val="000000" w:themeColor="text1"/>
          <w:sz w:val="21"/>
          <w:szCs w:val="21"/>
        </w:rPr>
        <w:t xml:space="preserve"> R H</w:t>
      </w:r>
      <w:r>
        <w:rPr>
          <w:rFonts w:eastAsia="宋体" w:asciiTheme="majorBidi" w:hAnsiTheme="majorBidi" w:cstheme="majorBidi"/>
          <w:color w:val="000000" w:themeColor="text1"/>
          <w:sz w:val="21"/>
          <w:szCs w:val="21"/>
          <w:lang w:val="fr-FR"/>
        </w:rPr>
        <w:t xml:space="preserve">. Spinoza’s Excommunication. </w:t>
      </w:r>
      <w:r>
        <w:rPr>
          <w:rFonts w:eastAsia="宋体" w:asciiTheme="majorBidi" w:hAnsiTheme="majorBidi" w:cstheme="majorBidi"/>
          <w:color w:val="000000" w:themeColor="text1"/>
          <w:sz w:val="21"/>
          <w:szCs w:val="21"/>
        </w:rPr>
        <w:t>In: Ravven</w:t>
      </w:r>
      <w:r>
        <w:rPr>
          <w:rFonts w:hint="eastAsia" w:eastAsia="宋体" w:asciiTheme="majorBidi" w:hAnsiTheme="majorBidi" w:cstheme="majorBidi"/>
          <w:color w:val="000000" w:themeColor="text1"/>
          <w:sz w:val="21"/>
          <w:szCs w:val="21"/>
        </w:rPr>
        <w:t xml:space="preserve"> H M</w:t>
      </w:r>
      <w:r>
        <w:rPr>
          <w:rFonts w:eastAsia="宋体" w:asciiTheme="majorBidi" w:hAnsiTheme="majorBidi" w:cstheme="majorBidi"/>
          <w:color w:val="000000" w:themeColor="text1"/>
          <w:sz w:val="21"/>
          <w:szCs w:val="21"/>
        </w:rPr>
        <w:t>, Goodman</w:t>
      </w:r>
      <w:r>
        <w:rPr>
          <w:rFonts w:hint="eastAsia" w:eastAsia="宋体" w:asciiTheme="majorBidi" w:hAnsiTheme="majorBidi" w:cstheme="majorBidi"/>
          <w:color w:val="000000" w:themeColor="text1"/>
          <w:sz w:val="21"/>
          <w:szCs w:val="21"/>
        </w:rPr>
        <w:t xml:space="preserve"> L E</w:t>
      </w:r>
      <w:r>
        <w:rPr>
          <w:rFonts w:eastAsia="宋体" w:asciiTheme="majorBidi" w:hAnsiTheme="majorBidi" w:cstheme="majorBidi"/>
          <w:color w:val="000000" w:themeColor="text1"/>
          <w:sz w:val="21"/>
          <w:szCs w:val="21"/>
        </w:rPr>
        <w:t xml:space="preserve">, eds. </w:t>
      </w:r>
      <w:r>
        <w:rPr>
          <w:rFonts w:eastAsia="宋体" w:asciiTheme="majorBidi" w:hAnsiTheme="majorBidi" w:cstheme="majorBidi"/>
          <w:i/>
          <w:iCs/>
          <w:color w:val="000000" w:themeColor="text1"/>
          <w:sz w:val="21"/>
          <w:szCs w:val="21"/>
        </w:rPr>
        <w:t>Jewish Theme’s in Spinoza’s Philosophy</w:t>
      </w:r>
      <w:r>
        <w:rPr>
          <w:rFonts w:eastAsia="宋体" w:asciiTheme="majorBidi" w:hAnsiTheme="majorBidi" w:cstheme="majorBidi"/>
          <w:color w:val="000000" w:themeColor="text1"/>
          <w:sz w:val="21"/>
          <w:szCs w:val="21"/>
        </w:rPr>
        <w:t>. New York: State University of New York, 2002</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263~280.</w:t>
      </w:r>
    </w:p>
    <w:p>
      <w:pPr>
        <w:pStyle w:val="15"/>
        <w:numPr>
          <w:ilvl w:val="0"/>
          <w:numId w:val="8"/>
        </w:numPr>
        <w:jc w:val="both"/>
        <w:rPr>
          <w:rFonts w:eastAsia="宋体" w:asciiTheme="majorBidi" w:hAnsiTheme="majorBidi" w:cstheme="majorBidi"/>
          <w:color w:val="000000" w:themeColor="text1"/>
          <w:sz w:val="21"/>
          <w:szCs w:val="21"/>
          <w:lang w:val="de-DE"/>
        </w:rPr>
      </w:pPr>
      <w:r>
        <w:rPr>
          <w:rFonts w:eastAsia="宋体" w:asciiTheme="majorBidi" w:hAnsiTheme="majorBidi" w:cstheme="majorBidi"/>
          <w:color w:val="000000" w:themeColor="text1"/>
          <w:sz w:val="21"/>
          <w:szCs w:val="21"/>
          <w:lang w:val="de-DE"/>
        </w:rPr>
        <w:t>Rapp</w:t>
      </w:r>
      <w:r>
        <w:rPr>
          <w:rFonts w:hint="eastAsia" w:eastAsia="宋体" w:asciiTheme="majorBidi" w:hAnsiTheme="majorBidi" w:cstheme="majorBidi"/>
          <w:color w:val="000000" w:themeColor="text1"/>
          <w:sz w:val="21"/>
          <w:szCs w:val="21"/>
        </w:rPr>
        <w:t xml:space="preserve"> C</w:t>
      </w:r>
      <w:r>
        <w:rPr>
          <w:rFonts w:eastAsia="宋体" w:asciiTheme="majorBidi" w:hAnsiTheme="majorBidi" w:cstheme="majorBidi"/>
          <w:color w:val="000000" w:themeColor="text1"/>
          <w:sz w:val="21"/>
          <w:szCs w:val="21"/>
          <w:lang w:val="de-DE"/>
        </w:rPr>
        <w:t>, Corcilius</w:t>
      </w:r>
      <w:r>
        <w:rPr>
          <w:rFonts w:hint="eastAsia" w:eastAsia="宋体" w:asciiTheme="majorBidi" w:hAnsiTheme="majorBidi" w:cstheme="majorBidi"/>
          <w:color w:val="000000" w:themeColor="text1"/>
          <w:sz w:val="21"/>
          <w:szCs w:val="21"/>
        </w:rPr>
        <w:t xml:space="preserve"> K. </w:t>
      </w:r>
      <w:r>
        <w:rPr>
          <w:rFonts w:eastAsia="宋体" w:asciiTheme="majorBidi" w:hAnsiTheme="majorBidi" w:cstheme="majorBidi"/>
          <w:i/>
          <w:iCs/>
          <w:color w:val="000000" w:themeColor="text1"/>
          <w:sz w:val="21"/>
          <w:szCs w:val="21"/>
          <w:lang w:val="de-DE"/>
        </w:rPr>
        <w:t>Aristoteles-Handbuch Leben — Werk — Wirkung</w:t>
      </w:r>
      <w:r>
        <w:rPr>
          <w:rFonts w:eastAsia="宋体" w:asciiTheme="majorBidi" w:hAnsiTheme="majorBidi" w:cstheme="majorBidi"/>
          <w:color w:val="000000" w:themeColor="text1"/>
          <w:sz w:val="21"/>
          <w:szCs w:val="21"/>
          <w:lang w:val="de-DE"/>
        </w:rPr>
        <w:t>. Stuttgart: J.B. Metzler, 2011</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lang w:val="de-DE"/>
        </w:rPr>
        <w:t>70~71.</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Ravven</w:t>
      </w:r>
      <w:r>
        <w:rPr>
          <w:rFonts w:hint="eastAsia" w:eastAsia="宋体" w:asciiTheme="majorBidi" w:hAnsiTheme="majorBidi" w:cstheme="majorBidi"/>
          <w:color w:val="000000" w:themeColor="text1"/>
          <w:sz w:val="21"/>
          <w:szCs w:val="21"/>
        </w:rPr>
        <w:t xml:space="preserve"> H M</w:t>
      </w:r>
      <w:r>
        <w:rPr>
          <w:rFonts w:eastAsia="宋体" w:asciiTheme="majorBidi" w:hAnsiTheme="majorBidi" w:cstheme="majorBidi"/>
          <w:color w:val="000000" w:themeColor="text1"/>
          <w:sz w:val="21"/>
          <w:szCs w:val="21"/>
        </w:rPr>
        <w:t>. Ratio and Activity: Spinoza’s Biologising of the Mind in an Aristotelian Key. In: Lord</w:t>
      </w:r>
      <w:r>
        <w:rPr>
          <w:rFonts w:hint="eastAsia" w:eastAsia="宋体" w:asciiTheme="majorBidi" w:hAnsiTheme="majorBidi" w:cstheme="majorBidi"/>
          <w:color w:val="000000" w:themeColor="text1"/>
          <w:sz w:val="21"/>
          <w:szCs w:val="21"/>
        </w:rPr>
        <w:t xml:space="preserve"> B</w:t>
      </w:r>
      <w:r>
        <w:rPr>
          <w:rFonts w:eastAsia="宋体" w:asciiTheme="majorBidi" w:hAnsiTheme="majorBidi" w:cstheme="majorBidi"/>
          <w:color w:val="000000" w:themeColor="text1"/>
          <w:sz w:val="21"/>
          <w:szCs w:val="21"/>
        </w:rPr>
        <w:t xml:space="preserve">, eds. </w:t>
      </w:r>
      <w:r>
        <w:rPr>
          <w:rFonts w:eastAsia="宋体" w:asciiTheme="majorBidi" w:hAnsiTheme="majorBidi" w:cstheme="majorBidi"/>
          <w:i/>
          <w:iCs/>
          <w:color w:val="000000" w:themeColor="text1"/>
          <w:sz w:val="21"/>
          <w:szCs w:val="21"/>
        </w:rPr>
        <w:t>Spinoza’s Philosophy of Ratio</w:t>
      </w:r>
      <w:r>
        <w:rPr>
          <w:rFonts w:eastAsia="宋体" w:asciiTheme="majorBidi" w:hAnsiTheme="majorBidi" w:cstheme="majorBidi"/>
          <w:color w:val="000000" w:themeColor="text1"/>
          <w:sz w:val="21"/>
          <w:szCs w:val="21"/>
        </w:rPr>
        <w:t>. Edinburgh: Edinburgh University Press, 2018</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33~45.</w:t>
      </w:r>
    </w:p>
    <w:p>
      <w:pPr>
        <w:pStyle w:val="15"/>
        <w:numPr>
          <w:ilvl w:val="0"/>
          <w:numId w:val="8"/>
        </w:numPr>
        <w:jc w:val="both"/>
        <w:rPr>
          <w:rFonts w:eastAsia="宋体" w:asciiTheme="majorBidi" w:hAnsiTheme="majorBidi" w:cstheme="majorBidi"/>
          <w:color w:val="000000" w:themeColor="text1"/>
          <w:sz w:val="21"/>
          <w:szCs w:val="21"/>
        </w:rPr>
      </w:pPr>
      <w:r>
        <w:rPr>
          <w:rFonts w:eastAsia="宋体" w:asciiTheme="majorBidi" w:hAnsiTheme="majorBidi" w:cstheme="majorBidi"/>
          <w:color w:val="000000" w:themeColor="text1"/>
          <w:sz w:val="21"/>
          <w:szCs w:val="21"/>
        </w:rPr>
        <w:t>Terpstra</w:t>
      </w:r>
      <w:r>
        <w:rPr>
          <w:rFonts w:hint="eastAsia" w:eastAsia="宋体" w:asciiTheme="majorBidi" w:hAnsiTheme="majorBidi" w:cstheme="majorBidi"/>
          <w:color w:val="000000" w:themeColor="text1"/>
          <w:sz w:val="21"/>
          <w:szCs w:val="21"/>
        </w:rPr>
        <w:t xml:space="preserve"> M</w:t>
      </w:r>
      <w:r>
        <w:rPr>
          <w:rFonts w:eastAsia="宋体" w:asciiTheme="majorBidi" w:hAnsiTheme="majorBidi" w:cstheme="majorBidi"/>
          <w:color w:val="000000" w:themeColor="text1"/>
          <w:sz w:val="21"/>
          <w:szCs w:val="21"/>
        </w:rPr>
        <w:t xml:space="preserve">. </w:t>
      </w:r>
      <w:r>
        <w:rPr>
          <w:rFonts w:eastAsia="宋体" w:asciiTheme="majorBidi" w:hAnsiTheme="majorBidi" w:cstheme="majorBidi"/>
          <w:i/>
          <w:iCs/>
          <w:color w:val="000000" w:themeColor="text1"/>
          <w:sz w:val="21"/>
          <w:szCs w:val="21"/>
        </w:rPr>
        <w:t>Potestas</w:t>
      </w:r>
      <w:r>
        <w:rPr>
          <w:rFonts w:eastAsia="宋体" w:asciiTheme="majorBidi" w:hAnsiTheme="majorBidi" w:cstheme="majorBidi"/>
          <w:color w:val="000000" w:themeColor="text1"/>
          <w:sz w:val="21"/>
          <w:szCs w:val="21"/>
        </w:rPr>
        <w:t xml:space="preserve">. In: </w:t>
      </w:r>
      <w:r>
        <w:rPr>
          <w:rFonts w:eastAsia="宋体" w:asciiTheme="majorBidi" w:hAnsiTheme="majorBidi" w:cstheme="majorBidi"/>
          <w:i/>
          <w:iCs/>
          <w:color w:val="000000" w:themeColor="text1"/>
          <w:sz w:val="21"/>
          <w:szCs w:val="21"/>
        </w:rPr>
        <w:t xml:space="preserve">The Continuum Companion to </w:t>
      </w:r>
      <w:r>
        <w:rPr>
          <w:rFonts w:hint="eastAsia" w:eastAsia="宋体" w:asciiTheme="majorBidi" w:hAnsiTheme="majorBidi" w:cstheme="majorBidi"/>
          <w:i/>
          <w:iCs/>
          <w:color w:val="000000" w:themeColor="text1"/>
          <w:sz w:val="21"/>
          <w:szCs w:val="21"/>
        </w:rPr>
        <w:t>Spinoza</w:t>
      </w:r>
      <w:r>
        <w:rPr>
          <w:rFonts w:eastAsia="宋体" w:asciiTheme="majorBidi" w:hAnsiTheme="majorBidi" w:cstheme="majorBidi"/>
          <w:color w:val="000000" w:themeColor="text1"/>
          <w:sz w:val="21"/>
          <w:szCs w:val="21"/>
        </w:rPr>
        <w:t>, Bunge</w:t>
      </w:r>
      <w:r>
        <w:rPr>
          <w:rFonts w:hint="eastAsia" w:eastAsia="宋体" w:asciiTheme="majorBidi" w:hAnsiTheme="majorBidi" w:cstheme="majorBidi"/>
          <w:color w:val="000000" w:themeColor="text1"/>
          <w:sz w:val="21"/>
          <w:szCs w:val="21"/>
        </w:rPr>
        <w:t xml:space="preserve"> W V</w:t>
      </w:r>
      <w:r>
        <w:rPr>
          <w:rFonts w:eastAsia="宋体" w:asciiTheme="majorBidi" w:hAnsiTheme="majorBidi" w:cstheme="majorBidi"/>
          <w:color w:val="000000" w:themeColor="text1"/>
          <w:sz w:val="21"/>
          <w:szCs w:val="21"/>
        </w:rPr>
        <w:t>, Krop</w:t>
      </w:r>
      <w:r>
        <w:rPr>
          <w:rFonts w:hint="eastAsia" w:eastAsia="宋体" w:asciiTheme="majorBidi" w:hAnsiTheme="majorBidi" w:cstheme="majorBidi"/>
          <w:color w:val="000000" w:themeColor="text1"/>
          <w:sz w:val="21"/>
          <w:szCs w:val="21"/>
        </w:rPr>
        <w:t xml:space="preserve"> H</w:t>
      </w:r>
      <w:r>
        <w:rPr>
          <w:rFonts w:eastAsia="宋体" w:asciiTheme="majorBidi" w:hAnsiTheme="majorBidi" w:cstheme="majorBidi"/>
          <w:color w:val="000000" w:themeColor="text1"/>
          <w:sz w:val="21"/>
          <w:szCs w:val="21"/>
        </w:rPr>
        <w:t>, Steenbakkers</w:t>
      </w:r>
      <w:r>
        <w:rPr>
          <w:rFonts w:hint="eastAsia" w:eastAsia="宋体" w:asciiTheme="majorBidi" w:hAnsiTheme="majorBidi" w:cstheme="majorBidi"/>
          <w:color w:val="000000" w:themeColor="text1"/>
          <w:sz w:val="21"/>
          <w:szCs w:val="21"/>
        </w:rPr>
        <w:t xml:space="preserve"> P</w:t>
      </w:r>
      <w:r>
        <w:rPr>
          <w:rFonts w:eastAsia="宋体" w:asciiTheme="majorBidi" w:hAnsiTheme="majorBidi" w:cstheme="majorBidi"/>
          <w:color w:val="000000" w:themeColor="text1"/>
          <w:sz w:val="21"/>
          <w:szCs w:val="21"/>
        </w:rPr>
        <w:t>, Ven</w:t>
      </w:r>
      <w:r>
        <w:rPr>
          <w:rFonts w:hint="eastAsia" w:eastAsia="宋体" w:asciiTheme="majorBidi" w:hAnsiTheme="majorBidi" w:cstheme="majorBidi"/>
          <w:color w:val="000000" w:themeColor="text1"/>
          <w:sz w:val="21"/>
          <w:szCs w:val="21"/>
        </w:rPr>
        <w:t xml:space="preserve"> J V D</w:t>
      </w:r>
      <w:r>
        <w:rPr>
          <w:rFonts w:eastAsia="宋体" w:asciiTheme="majorBidi" w:hAnsiTheme="majorBidi" w:cstheme="majorBidi"/>
          <w:color w:val="000000" w:themeColor="text1"/>
          <w:sz w:val="21"/>
          <w:szCs w:val="21"/>
        </w:rPr>
        <w:t>, eds. Continuum, 2011</w:t>
      </w:r>
      <w:r>
        <w:rPr>
          <w:rFonts w:hint="eastAsia" w:eastAsia="宋体" w:asciiTheme="majorBidi" w:hAnsiTheme="majorBidi" w:cstheme="majorBidi"/>
          <w:color w:val="000000" w:themeColor="text1"/>
          <w:sz w:val="21"/>
          <w:szCs w:val="21"/>
        </w:rPr>
        <w:t>.</w:t>
      </w:r>
      <w:r>
        <w:rPr>
          <w:rFonts w:eastAsia="宋体" w:asciiTheme="majorBidi" w:hAnsiTheme="majorBidi" w:cstheme="majorBidi"/>
          <w:color w:val="000000" w:themeColor="text1"/>
          <w:sz w:val="21"/>
          <w:szCs w:val="21"/>
        </w:rPr>
        <w:t>294~297.</w:t>
      </w:r>
    </w:p>
    <w:p>
      <w:pPr>
        <w:pStyle w:val="30"/>
        <w:numPr>
          <w:ilvl w:val="0"/>
          <w:numId w:val="8"/>
        </w:numPr>
        <w:ind w:firstLineChars="0"/>
        <w:jc w:val="both"/>
        <w:rPr>
          <w:rFonts w:ascii="宋体" w:hAnsi="宋体" w:eastAsia="宋体" w:cs="宋体"/>
          <w:color w:val="000000" w:themeColor="text1"/>
          <w:sz w:val="21"/>
          <w:szCs w:val="21"/>
          <w:shd w:val="clear" w:color="auto" w:fill="FFFFFF"/>
        </w:rPr>
      </w:pPr>
      <w:r>
        <w:rPr>
          <w:rFonts w:hint="eastAsia" w:ascii="宋体" w:hAnsi="宋体" w:eastAsia="宋体" w:cs="宋体"/>
          <w:color w:val="000000" w:themeColor="text1"/>
          <w:kern w:val="2"/>
          <w:sz w:val="21"/>
          <w:szCs w:val="21"/>
          <w:lang w:val="de-DE"/>
        </w:rPr>
        <w:t>阿摩斯</w:t>
      </w:r>
      <w:r>
        <w:rPr>
          <w:rFonts w:hint="eastAsia" w:ascii="宋体" w:hAnsi="宋体" w:eastAsia="宋体" w:cs="宋体"/>
          <w:sz w:val="21"/>
          <w:szCs w:val="21"/>
        </w:rPr>
        <w:t>·</w:t>
      </w:r>
      <w:r>
        <w:rPr>
          <w:rFonts w:hint="eastAsia" w:ascii="宋体" w:hAnsi="宋体" w:eastAsia="宋体" w:cs="宋体"/>
          <w:color w:val="000000" w:themeColor="text1"/>
          <w:kern w:val="2"/>
          <w:sz w:val="21"/>
          <w:szCs w:val="21"/>
          <w:lang w:val="de-DE"/>
        </w:rPr>
        <w:t>冯肯斯坦.神学</w:t>
      </w:r>
      <w:r>
        <w:rPr>
          <w:rFonts w:hint="eastAsia" w:ascii="宋体" w:hAnsi="宋体" w:eastAsia="宋体" w:cs="宋体"/>
          <w:color w:val="000000" w:themeColor="text1"/>
          <w:sz w:val="21"/>
          <w:szCs w:val="21"/>
          <w:shd w:val="clear" w:color="auto" w:fill="FFFFFF"/>
        </w:rPr>
        <w:t>与科学的想象.毛竹译.上海：生活·读书·新知三联书店，2019.</w:t>
      </w:r>
    </w:p>
    <w:p>
      <w:pPr>
        <w:pStyle w:val="15"/>
        <w:numPr>
          <w:ilvl w:val="0"/>
          <w:numId w:val="8"/>
        </w:numPr>
        <w:jc w:val="both"/>
        <w:rPr>
          <w:rFonts w:ascii="宋体" w:hAnsi="宋体" w:eastAsia="宋体" w:cs="宋体"/>
          <w:color w:val="000000" w:themeColor="text1"/>
          <w:sz w:val="21"/>
          <w:szCs w:val="21"/>
          <w:lang w:val="de-DE"/>
        </w:rPr>
      </w:pPr>
      <w:r>
        <w:rPr>
          <w:rFonts w:hint="eastAsia" w:ascii="宋体" w:hAnsi="宋体" w:eastAsia="宋体" w:cs="宋体"/>
          <w:color w:val="000000" w:themeColor="text1"/>
          <w:sz w:val="21"/>
          <w:szCs w:val="21"/>
          <w:lang w:val="de-DE"/>
        </w:rPr>
        <w:t>安靖.亚里士多德与形而上学的存在—神—学构造问题.中山大学学报(社会科学版)，2018，58(04)：148~154.</w:t>
      </w:r>
    </w:p>
    <w:p>
      <w:pPr>
        <w:pStyle w:val="30"/>
        <w:numPr>
          <w:ilvl w:val="0"/>
          <w:numId w:val="8"/>
        </w:numPr>
        <w:ind w:firstLineChars="0"/>
        <w:jc w:val="both"/>
        <w:rPr>
          <w:rFonts w:ascii="宋体" w:hAnsi="宋体" w:eastAsia="宋体" w:cs="宋体"/>
          <w:color w:val="000000" w:themeColor="text1"/>
          <w:sz w:val="21"/>
          <w:szCs w:val="21"/>
          <w:lang w:val="de-DE"/>
        </w:rPr>
      </w:pPr>
      <w:r>
        <w:rPr>
          <w:rFonts w:hint="eastAsia" w:ascii="宋体" w:hAnsi="宋体" w:eastAsia="宋体" w:cs="宋体"/>
          <w:color w:val="000000" w:themeColor="text1"/>
          <w:sz w:val="21"/>
          <w:szCs w:val="21"/>
          <w:lang w:val="de-DE"/>
        </w:rPr>
        <w:t>安靖.论康德对存在-神-学构造的司各脱式批判.哲学动态，2018(07)：76~83.</w:t>
      </w:r>
    </w:p>
    <w:p>
      <w:pPr>
        <w:pStyle w:val="30"/>
        <w:numPr>
          <w:ilvl w:val="0"/>
          <w:numId w:val="8"/>
        </w:numPr>
        <w:ind w:firstLineChars="0"/>
        <w:jc w:val="both"/>
        <w:rPr>
          <w:rFonts w:ascii="宋体" w:hAnsi="宋体" w:eastAsia="宋体" w:cs="宋体"/>
          <w:color w:val="000000" w:themeColor="text1"/>
          <w:sz w:val="21"/>
          <w:szCs w:val="21"/>
          <w:lang w:val="de-DE"/>
        </w:rPr>
      </w:pPr>
      <w:r>
        <w:rPr>
          <w:rFonts w:hint="eastAsia" w:ascii="宋体" w:hAnsi="宋体" w:eastAsia="宋体" w:cs="宋体"/>
          <w:color w:val="000000" w:themeColor="text1"/>
          <w:sz w:val="21"/>
          <w:szCs w:val="21"/>
          <w:lang w:val="de-DE"/>
        </w:rPr>
        <w:t>雷比瑟</w:t>
      </w:r>
      <w:r>
        <w:rPr>
          <w:rFonts w:hint="eastAsia" w:ascii="宋体" w:hAnsi="宋体" w:eastAsia="宋体" w:cs="宋体"/>
          <w:color w:val="000000" w:themeColor="text1"/>
          <w:kern w:val="2"/>
          <w:sz w:val="21"/>
          <w:szCs w:val="21"/>
          <w:lang w:val="de-DE"/>
        </w:rPr>
        <w:t>.自然科学史与玫瑰.朱亚栋译.北京：华夏出版社</w:t>
      </w:r>
      <w:r>
        <w:rPr>
          <w:rFonts w:hint="eastAsia" w:ascii="宋体" w:hAnsi="宋体" w:eastAsia="宋体" w:cs="宋体"/>
          <w:color w:val="000000" w:themeColor="text1"/>
          <w:sz w:val="21"/>
          <w:szCs w:val="21"/>
          <w:lang w:val="de-DE"/>
        </w:rPr>
        <w:t>，</w:t>
      </w:r>
      <w:r>
        <w:rPr>
          <w:rFonts w:hint="eastAsia" w:ascii="宋体" w:hAnsi="宋体" w:eastAsia="宋体" w:cs="宋体"/>
          <w:color w:val="000000" w:themeColor="text1"/>
          <w:kern w:val="2"/>
          <w:sz w:val="21"/>
          <w:szCs w:val="21"/>
          <w:lang w:val="de-DE"/>
        </w:rPr>
        <w:t>2019.</w:t>
      </w:r>
    </w:p>
    <w:p>
      <w:pPr>
        <w:pStyle w:val="30"/>
        <w:numPr>
          <w:ilvl w:val="0"/>
          <w:numId w:val="8"/>
        </w:numPr>
        <w:ind w:firstLineChars="0"/>
        <w:jc w:val="both"/>
        <w:rPr>
          <w:rFonts w:ascii="宋体" w:hAnsi="宋体" w:eastAsia="宋体" w:cs="宋体"/>
          <w:color w:val="000000" w:themeColor="text1"/>
          <w:kern w:val="2"/>
          <w:sz w:val="21"/>
          <w:szCs w:val="21"/>
          <w:lang w:val="de-DE"/>
        </w:rPr>
      </w:pPr>
      <w:r>
        <w:rPr>
          <w:rFonts w:hint="eastAsia" w:ascii="宋体" w:hAnsi="宋体" w:eastAsia="宋体" w:cs="宋体"/>
          <w:color w:val="000000" w:themeColor="text1"/>
          <w:sz w:val="21"/>
          <w:szCs w:val="21"/>
          <w:lang w:val="de-DE"/>
        </w:rPr>
        <w:t>吉</w:t>
      </w:r>
      <w:r>
        <w:rPr>
          <w:rFonts w:hint="eastAsia" w:ascii="宋体" w:hAnsi="宋体" w:eastAsia="宋体" w:cs="宋体"/>
          <w:color w:val="000000" w:themeColor="text1"/>
          <w:kern w:val="2"/>
          <w:sz w:val="21"/>
          <w:szCs w:val="21"/>
          <w:lang w:val="de-DE"/>
        </w:rPr>
        <w:t>尔</w:t>
      </w:r>
      <w:r>
        <w:rPr>
          <w:rFonts w:hint="eastAsia" w:ascii="宋体" w:hAnsi="宋体" w:eastAsia="宋体" w:cs="宋体"/>
          <w:sz w:val="21"/>
          <w:szCs w:val="21"/>
        </w:rPr>
        <w:t>·</w:t>
      </w:r>
      <w:r>
        <w:rPr>
          <w:rFonts w:hint="eastAsia" w:ascii="宋体" w:hAnsi="宋体" w:eastAsia="宋体" w:cs="宋体"/>
          <w:color w:val="000000" w:themeColor="text1"/>
          <w:kern w:val="2"/>
          <w:sz w:val="21"/>
          <w:szCs w:val="21"/>
          <w:lang w:val="de-DE"/>
        </w:rPr>
        <w:t>德勒兹.斯宾诺莎与表现问题.龚重林译.北京：商务印书馆，2019.</w:t>
      </w:r>
    </w:p>
    <w:p>
      <w:pPr>
        <w:pStyle w:val="30"/>
        <w:numPr>
          <w:ilvl w:val="0"/>
          <w:numId w:val="8"/>
        </w:numPr>
        <w:ind w:firstLineChars="0"/>
        <w:jc w:val="both"/>
        <w:rPr>
          <w:rFonts w:ascii="宋体" w:hAnsi="宋体" w:eastAsia="宋体" w:cs="宋体"/>
          <w:color w:val="000000" w:themeColor="text1"/>
          <w:kern w:val="2"/>
          <w:sz w:val="21"/>
          <w:szCs w:val="21"/>
          <w:lang w:val="de-DE"/>
        </w:rPr>
      </w:pPr>
      <w:r>
        <w:rPr>
          <w:rFonts w:hint="eastAsia" w:ascii="宋体" w:hAnsi="宋体" w:eastAsia="宋体" w:cs="宋体"/>
          <w:color w:val="000000" w:themeColor="text1"/>
          <w:kern w:val="2"/>
          <w:sz w:val="21"/>
          <w:szCs w:val="21"/>
          <w:lang w:val="de-DE"/>
        </w:rPr>
        <w:t>吉尔·德勒兹.德勒兹课程讲义.安靖译.待出版.</w:t>
      </w:r>
    </w:p>
    <w:p>
      <w:pPr>
        <w:pStyle w:val="30"/>
        <w:numPr>
          <w:ilvl w:val="0"/>
          <w:numId w:val="8"/>
        </w:numPr>
        <w:ind w:firstLineChars="0"/>
        <w:jc w:val="both"/>
        <w:rPr>
          <w:rFonts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先刚.永恒与时间 谢林哲学研究.张卜天译.北京：商务印书馆，2008，138~159.</w:t>
      </w:r>
    </w:p>
    <w:p>
      <w:pPr>
        <w:pStyle w:val="30"/>
        <w:numPr>
          <w:ilvl w:val="0"/>
          <w:numId w:val="8"/>
        </w:numPr>
        <w:ind w:firstLineChars="0"/>
        <w:jc w:val="both"/>
        <w:rPr>
          <w:rFonts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亚历山大</w:t>
      </w:r>
      <w:r>
        <w:rPr>
          <w:rFonts w:hint="eastAsia" w:ascii="宋体" w:hAnsi="宋体" w:eastAsia="宋体" w:cs="宋体"/>
          <w:sz w:val="21"/>
          <w:szCs w:val="21"/>
        </w:rPr>
        <w:t>·</w:t>
      </w:r>
      <w:r>
        <w:rPr>
          <w:rFonts w:hint="eastAsia" w:ascii="宋体" w:hAnsi="宋体" w:eastAsia="宋体" w:cs="宋体"/>
          <w:color w:val="000000" w:themeColor="text1"/>
          <w:sz w:val="21"/>
          <w:szCs w:val="21"/>
          <w:shd w:val="clear" w:color="auto" w:fill="FFFFFF"/>
        </w:rPr>
        <w:t>柯瓦雷.从封闭世界到无限宇宙.张卜天译.北京：商务印书馆, 2016.</w:t>
      </w:r>
    </w:p>
    <w:p>
      <w:pPr>
        <w:pStyle w:val="30"/>
        <w:numPr>
          <w:ilvl w:val="0"/>
          <w:numId w:val="8"/>
        </w:numPr>
        <w:ind w:firstLineChars="0"/>
        <w:jc w:val="both"/>
        <w:rPr>
          <w:rFonts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亚历山大</w:t>
      </w:r>
      <w:r>
        <w:rPr>
          <w:rFonts w:hint="eastAsia" w:ascii="宋体" w:hAnsi="宋体" w:eastAsia="宋体" w:cs="宋体"/>
          <w:sz w:val="21"/>
          <w:szCs w:val="21"/>
        </w:rPr>
        <w:t>·</w:t>
      </w:r>
      <w:r>
        <w:rPr>
          <w:rFonts w:hint="eastAsia" w:ascii="宋体" w:hAnsi="宋体" w:eastAsia="宋体" w:cs="宋体"/>
          <w:color w:val="000000" w:themeColor="text1"/>
          <w:sz w:val="21"/>
          <w:szCs w:val="21"/>
          <w:shd w:val="clear" w:color="auto" w:fill="FFFFFF"/>
        </w:rPr>
        <w:t>柯瓦雷.牛顿研究.张卜天译.北京：商务印书馆，2016，279~282.</w:t>
      </w:r>
    </w:p>
    <w:p>
      <w:pPr>
        <w:pStyle w:val="30"/>
        <w:ind w:firstLine="0" w:firstLineChars="0"/>
        <w:jc w:val="both"/>
        <w:rPr>
          <w:rFonts w:ascii="宋体" w:hAnsi="宋体" w:eastAsia="宋体" w:cs="宋体"/>
          <w:color w:val="000000" w:themeColor="text1"/>
          <w:sz w:val="21"/>
          <w:szCs w:val="21"/>
          <w:shd w:val="clear" w:color="auto" w:fill="FFFFFF"/>
        </w:rPr>
      </w:pPr>
    </w:p>
    <w:sectPr>
      <w:headerReference r:id="rId14" w:type="first"/>
      <w:footerReference r:id="rId16" w:type="first"/>
      <w:footerReference r:id="rId15" w:type="default"/>
      <w:footnotePr>
        <w:numFmt w:val="decimalEnclosedCircleChinese"/>
        <w:numRestart w:val="eachPage"/>
      </w:footnotePr>
      <w:pgSz w:w="11900" w:h="16840"/>
      <w:pgMar w:top="1440" w:right="1797" w:bottom="1440" w:left="1797" w:header="850" w:footer="992"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Hei">
    <w:altName w:val="微软雅黑"/>
    <w:panose1 w:val="00000000000000000000"/>
    <w:charset w:val="86"/>
    <w:family w:val="auto"/>
    <w:pitch w:val="default"/>
    <w:sig w:usb0="00000000" w:usb1="00000000" w:usb2="00000010" w:usb3="00000000" w:csb0="00040001"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Fonts w:asciiTheme="majorBidi" w:hAnsiTheme="majorBidi" w:cstheme="majorBidi"/>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1"/>
                  <w:rPr>
                    <w:rFonts w:eastAsia="宋体"/>
                  </w:rPr>
                </w:pPr>
                <w:r>
                  <w:rPr>
                    <w:rFonts w:hint="eastAsia" w:eastAsia="宋体"/>
                  </w:rPr>
                  <w:t>01</w:t>
                </w:r>
              </w:p>
            </w:txbxContent>
          </v:textbox>
        </v:shape>
      </w:pict>
    </w:r>
    <w:r>
      <w:pict>
        <v:shape id="_x0000_s1031" o:spid="_x0000_s103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1"/>
                  <w:rPr>
                    <w:rFonts w:eastAsia="宋体"/>
                  </w:rPr>
                </w:pPr>
              </w:p>
            </w:txbxContent>
          </v:textbox>
        </v:shape>
      </w:pict>
    </w:r>
    <w:sdt>
      <w:sdtPr>
        <w:rPr>
          <w:rStyle w:val="24"/>
        </w:rPr>
        <w:id w:val="889690136"/>
      </w:sdtPr>
      <w:sdtEndPr>
        <w:rPr>
          <w:rStyle w:val="24"/>
          <w:rFonts w:asciiTheme="majorBidi" w:hAnsiTheme="majorBidi" w:cstheme="majorBidi"/>
        </w:rPr>
      </w:sdtEndPr>
      <w:sdtContent/>
    </w:sdt>
  </w:p>
  <w:p>
    <w:pPr>
      <w:pStyle w:val="11"/>
      <w:rPr>
        <w:rFonts w:asciiTheme="majorBidi" w:hAnsiTheme="majorBidi" w:cstheme="maj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478845086"/>
    </w:sdtPr>
    <w:sdtEndPr>
      <w:rPr>
        <w:rStyle w:val="24"/>
      </w:rPr>
    </w:sdtEndPr>
    <w:sdtContent>
      <w:p>
        <w:pPr>
          <w:pStyle w:val="11"/>
          <w:framePr w:wrap="around" w:vAnchor="text" w:hAnchor="margin" w:xAlign="center" w:y="1"/>
          <w:rPr>
            <w:rStyle w:val="24"/>
          </w:rPr>
        </w:pPr>
        <w:r>
          <w:rPr>
            <w:rStyle w:val="24"/>
          </w:rPr>
          <w:fldChar w:fldCharType="begin"/>
        </w:r>
        <w:r>
          <w:rPr>
            <w:rStyle w:val="24"/>
          </w:rPr>
          <w:instrText xml:space="preserve"> PAGE </w:instrText>
        </w:r>
        <w:r>
          <w:rPr>
            <w:rStyle w:val="24"/>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9"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path/>
          <v:fill on="f" focussize="0,0"/>
          <v:stroke on="f" weight="0.5pt" joinstyle="miter"/>
          <v:imagedata o:title=""/>
          <o:lock v:ext="edit"/>
          <v:textbox inset="0mm,0mm,0mm,0mm" style="mso-fit-shape-to-text:t;">
            <w:txbxContent>
              <w:p>
                <w:pPr>
                  <w:pStyle w:val="11"/>
                  <w:rPr>
                    <w:rFonts w:eastAsia="宋体"/>
                  </w:rPr>
                </w:pPr>
                <w:r>
                  <w:rPr>
                    <w:rFonts w:hint="eastAsia" w:eastAsia="宋体"/>
                  </w:rPr>
                  <w:t>0</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w:t>
                </w:r>
                <w:r>
                  <w:rPr>
                    <w:rFonts w:hint="eastAsia" w:eastAsia="宋体"/>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path/>
          <v:fill on="f" focussize="0,0"/>
          <v:stroke on="f" weight="0.5pt" joinstyle="miter"/>
          <v:imagedata o:title=""/>
          <o:lock v:ext="edit"/>
          <v:textbox inset="0mm,0mm,0mm,0mm" style="mso-fit-shape-to-text:t;">
            <w:txbxContent>
              <w:p>
                <w:pPr>
                  <w:pStyle w:val="11"/>
                  <w:rPr>
                    <w:rFonts w:eastAsia="宋体"/>
                  </w:rPr>
                </w:pPr>
                <w:r>
                  <w:rPr>
                    <w:rFonts w:hint="eastAsia" w:eastAsia="宋体"/>
                  </w:rPr>
                  <w:t>0</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7" o:spid="_x0000_s1027"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path/>
          <v:fill on="f" focussize="0,0"/>
          <v:stroke on="f" weight="0.5pt" joinstyle="miter"/>
          <v:imagedata o:title=""/>
          <o:lock v:ext="edit"/>
          <v:textbox inset="0mm,0mm,0mm,0mm" style="mso-fit-shape-to-text:t;">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30</w:t>
                </w:r>
                <w:r>
                  <w:rPr>
                    <w:rFonts w:hint="eastAsia" w:eastAsia="宋体"/>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8" o:spid="_x0000_s1028"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path/>
          <v:fill on="f" focussize="0,0"/>
          <v:stroke on="f" weight="0.5pt" joinstyle="miter"/>
          <v:imagedata o:title=""/>
          <o:lock v:ext="edit"/>
          <v:textbox inset="0mm,0mm,0mm,0mm" style="mso-fit-shape-to-text:t;">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jc w:val="both"/>
        <w:rPr>
          <w:rFonts w:eastAsia="宋体" w:asciiTheme="majorBidi" w:hAnsiTheme="majorBidi" w:cstheme="majorBidi"/>
        </w:rPr>
      </w:pPr>
      <w:r>
        <w:rPr>
          <w:rStyle w:val="28"/>
          <w:rFonts w:ascii="宋体" w:hAnsi="宋体" w:eastAsia="宋体"/>
        </w:rPr>
        <w:footnoteRef/>
      </w:r>
      <w:r>
        <w:rPr>
          <w:rFonts w:ascii="宋体" w:hAnsi="宋体" w:eastAsia="宋体"/>
        </w:rPr>
        <w:t xml:space="preserve"> </w:t>
      </w:r>
      <w:r>
        <w:rPr>
          <w:rFonts w:hint="eastAsia" w:ascii="宋体" w:hAnsi="宋体" w:eastAsia="宋体"/>
        </w:rPr>
        <w:t>本处对于斯宾</w:t>
      </w:r>
      <w:r>
        <w:rPr>
          <w:rFonts w:eastAsia="宋体" w:asciiTheme="majorBidi" w:hAnsiTheme="majorBidi" w:cstheme="majorBidi"/>
        </w:rPr>
        <w:t>诺莎两种</w:t>
      </w:r>
      <w:r>
        <w:rPr>
          <w:rFonts w:hint="eastAsia" w:eastAsia="宋体" w:asciiTheme="majorBidi" w:hAnsiTheme="majorBidi" w:cstheme="majorBidi"/>
        </w:rPr>
        <w:t>“</w:t>
      </w:r>
      <w:r>
        <w:rPr>
          <w:rFonts w:eastAsia="宋体" w:asciiTheme="majorBidi" w:hAnsiTheme="majorBidi" w:cstheme="majorBidi"/>
        </w:rPr>
        <w:t>力量</w:t>
      </w:r>
      <w:r>
        <w:rPr>
          <w:rFonts w:hint="eastAsia" w:eastAsia="宋体" w:asciiTheme="majorBidi" w:hAnsiTheme="majorBidi" w:cstheme="majorBidi"/>
        </w:rPr>
        <w:t>”</w:t>
      </w:r>
      <w:r>
        <w:rPr>
          <w:rFonts w:eastAsia="宋体" w:asciiTheme="majorBidi" w:hAnsiTheme="majorBidi" w:cstheme="majorBidi"/>
        </w:rPr>
        <w:t>概念——potentia和potestas的辨析主要参考了&lt;The Continuum Companion to Spinoza&gt;一书中的两个相应词条。两位词条的作者C·雅</w:t>
      </w:r>
      <w:r>
        <w:rPr>
          <w:rFonts w:hint="eastAsia" w:eastAsia="宋体" w:asciiTheme="majorBidi" w:hAnsiTheme="majorBidi" w:cstheme="majorBidi"/>
        </w:rPr>
        <w:t>凯</w:t>
      </w:r>
      <w:r>
        <w:rPr>
          <w:rFonts w:eastAsia="宋体" w:asciiTheme="majorBidi" w:hAnsiTheme="majorBidi" w:cstheme="majorBidi"/>
        </w:rPr>
        <w:t>（Ch</w:t>
      </w:r>
      <w:r>
        <w:rPr>
          <w:rFonts w:hint="eastAsia" w:eastAsia="宋体" w:asciiTheme="majorBidi" w:hAnsiTheme="majorBidi" w:cstheme="majorBidi"/>
        </w:rPr>
        <w:t>.</w:t>
      </w:r>
      <w:r>
        <w:rPr>
          <w:rFonts w:eastAsia="宋体" w:asciiTheme="majorBidi" w:hAnsiTheme="majorBidi" w:cstheme="majorBidi"/>
        </w:rPr>
        <w:t xml:space="preserve"> Jaquet）和M·特尔普斯特拉（M. Terpstra）依据斯宾诺莎著作的拉丁</w:t>
      </w:r>
      <w:r>
        <w:rPr>
          <w:rFonts w:hint="eastAsia" w:ascii="宋体" w:hAnsi="宋体" w:eastAsia="宋体"/>
        </w:rPr>
        <w:t>文版本和荷兰文版本对这两个概念做出了详尽的辨析。参见：</w:t>
      </w:r>
      <w:r>
        <w:rPr>
          <w:rFonts w:eastAsia="宋体" w:asciiTheme="majorBidi" w:hAnsiTheme="majorBidi" w:cstheme="majorBidi"/>
          <w:i/>
          <w:iCs/>
        </w:rPr>
        <w:t>The Continuum Companion to Spinoza</w:t>
      </w:r>
      <w:r>
        <w:rPr>
          <w:rFonts w:eastAsia="宋体" w:asciiTheme="majorBidi" w:hAnsiTheme="majorBidi" w:cstheme="majorBidi"/>
        </w:rPr>
        <w:t>, Wiep van Bunge, Henri Krop, Piet Steenbakkers, Jeroen van de Ven, eds. Continuum, 2011, Part 4.GLOSSARY, 292~297.</w:t>
      </w:r>
    </w:p>
  </w:footnote>
  <w:footnote w:id="1">
    <w:p>
      <w:pPr>
        <w:pStyle w:val="15"/>
        <w:rPr>
          <w:rFonts w:eastAsia="宋体"/>
        </w:rPr>
      </w:pPr>
      <w:r>
        <w:rPr>
          <w:rStyle w:val="28"/>
        </w:rPr>
        <w:footnoteRef/>
      </w:r>
      <w:r>
        <w:t xml:space="preserve"> </w:t>
      </w:r>
      <w:r>
        <w:rPr>
          <w:rFonts w:hint="eastAsia" w:eastAsia="宋体"/>
        </w:rPr>
        <w:t>这里，“德性（virtus）”在拉丁文中指的是“禀赋”或“能力”，而非一般意义上的道德品质。这与亚里士多德在《尼各马可伦理学》中对于“德性”的说明相一致。此处，“virtus”与“facultas”相近，两者均具有“能力”的含义。</w:t>
      </w:r>
    </w:p>
  </w:footnote>
  <w:footnote w:id="2">
    <w:p>
      <w:pPr>
        <w:pStyle w:val="15"/>
        <w:jc w:val="both"/>
        <w:rPr>
          <w:rFonts w:ascii="宋体" w:hAnsi="宋体" w:eastAsia="宋体" w:cs="宋体"/>
          <w:lang w:val="de-DE"/>
        </w:rPr>
      </w:pPr>
      <w:r>
        <w:rPr>
          <w:rStyle w:val="28"/>
          <w:rFonts w:ascii="宋体" w:hAnsi="宋体" w:eastAsia="宋体" w:cstheme="majorBidi"/>
        </w:rPr>
        <w:footnoteRef/>
      </w:r>
      <w:r>
        <w:rPr>
          <w:rStyle w:val="28"/>
          <w:rFonts w:ascii="宋体" w:hAnsi="宋体" w:eastAsia="宋体" w:cstheme="majorBidi"/>
        </w:rPr>
        <w:t xml:space="preserve"> </w:t>
      </w:r>
      <w:r>
        <w:rPr>
          <w:rFonts w:hint="eastAsia" w:ascii="宋体" w:hAnsi="宋体" w:eastAsia="宋体" w:cs="宋体"/>
        </w:rPr>
        <w:t>关于对斯宾诺莎哲学两种阐释路径的概括，参见：斯宾诺莎：《斯宾诺莎书信集》.洪汉鼎译.北京：商务印书馆，2019，译序，4~6. 在《哲学史讲演录》中，黑格尔对于斯宾诺莎的哲学进行的系统性的（尽管带有偏见的）梳理。首先，他做出了一个对于斯宾诺莎</w:t>
      </w:r>
      <w:r>
        <w:rPr>
          <w:rFonts w:hint="eastAsia" w:ascii="宋体" w:hAnsi="宋体" w:eastAsia="宋体" w:cs="宋体"/>
          <w:lang w:val="de-DE"/>
        </w:rPr>
        <w:t>哲学的简单概括：“只有唯一的实体是真的，实体的属性是思维和广延（自然）；只有这个绝对的统一是实在的，是实在性，——只有它是神。”（参见：</w:t>
      </w:r>
      <w:r>
        <w:rPr>
          <w:rFonts w:hint="eastAsia" w:ascii="宋体" w:hAnsi="宋体" w:eastAsia="宋体" w:cs="宋体"/>
        </w:rPr>
        <w:t>黑格尔：《哲学史讲演录》.第四卷.贺麟译.北京：商务印书馆，1978，98.</w:t>
      </w:r>
      <w:r>
        <w:rPr>
          <w:rFonts w:hint="eastAsia" w:ascii="宋体" w:hAnsi="宋体" w:eastAsia="宋体" w:cs="宋体"/>
          <w:lang w:val="de-DE"/>
        </w:rPr>
        <w:t>）斯宾诺莎的哲学被看作了一种实体哲学。在此基础上，黑格尔对于斯宾诺莎做出三方面批判：一是对于实体的非精神性的批判：斯宾诺莎死板的实体不是真正的精神；二是对于实体消解规定性的批判：“规定即否定”；三是对于几何学证明方法的批判：“这种方法并不适用于思辨的内容，只有在有限的理智科学中才能运用自如。”而本文关注的主要方面与黑格尔对于斯宾诺莎的前两个批判有直接关系。在黑格尔那里，斯宾诺莎的实体被比作“深渊”式的存在：</w:t>
      </w:r>
      <w:r>
        <w:rPr>
          <w:rFonts w:hint="eastAsia" w:ascii="宋体" w:hAnsi="宋体" w:eastAsia="宋体" w:cs="宋体"/>
        </w:rPr>
        <w:t>“事物和意识的一切差别和规定全都只是回到唯一的实体里面，所以可以说，在斯宾诺莎的体系里，一切都只是被投进了这个毁灭的深渊。……一切都萎谢于实体之中，一切生命都凋零于自身之内;斯宾诺莎本人就死于痨瘵。——这是普遍的〔命运〕。”（参见：同上，102～103.）黑格尔认为，斯宾诺莎哲学是一种表达“开端”的实体哲学，而“成为斯宾诺莎的追随者是所有哲学得以成立的必要前提”。皮埃尔·马舍雷（</w:t>
      </w:r>
      <w:r>
        <w:rPr>
          <w:rFonts w:eastAsia="宋体"/>
        </w:rPr>
        <w:t>Pierre Macherey</w:t>
      </w:r>
      <w:r>
        <w:rPr>
          <w:rFonts w:hint="eastAsia" w:ascii="宋体" w:hAnsi="宋体" w:eastAsia="宋体" w:cs="宋体"/>
        </w:rPr>
        <w:t>）认为，正是由于这种“开端”的界定，黑格尔才将实体理解为了一种“引人注目的死精神”。在实体这里只有一种本源的限定，而在其中没有任何限定性的具体事物存在。一切有意识的存在者（包括主体）在内，最后都会再一次消失在无意识之中。因此从无生命的实体中，我们推不出任何东西。因此，实体既作为一种绝对的开端，也作为一种终结。黑格尔认为，斯宾诺莎哲学的出路在于</w:t>
      </w:r>
      <w:r>
        <w:rPr>
          <w:rFonts w:hint="eastAsia" w:ascii="宋体" w:hAnsi="宋体" w:eastAsia="宋体" w:cs="宋体"/>
          <w:lang w:val="de-DE"/>
        </w:rPr>
        <w:t>利用“精神”为实体奠基，从而使“死气沉沉”的实体具有了“生命力”和“活力”。</w:t>
      </w:r>
      <w:r>
        <w:rPr>
          <w:rFonts w:hint="eastAsia" w:ascii="宋体" w:hAnsi="宋体" w:eastAsia="宋体" w:cs="宋体"/>
        </w:rPr>
        <w:t>他利用逻辑循环的实体替换了作为整体的实体概念。</w:t>
      </w:r>
      <w:r>
        <w:rPr>
          <w:rFonts w:hint="eastAsia" w:ascii="宋体" w:hAnsi="宋体" w:eastAsia="宋体" w:cs="宋体"/>
          <w:lang w:val="de-DE"/>
        </w:rPr>
        <w:t>倘若我们对于斯宾诺莎的文本稍有熟悉，就会发现黑格尔的这里并非是对斯宾诺莎的诘难而</w:t>
      </w:r>
      <w:r>
        <w:rPr>
          <w:rFonts w:hint="eastAsia" w:ascii="宋体" w:hAnsi="宋体" w:eastAsia="宋体" w:cs="宋体"/>
        </w:rPr>
        <w:t>是对于其思想的继承和发展。斯宾诺莎的实体并非是一个吞没一切的逻辑终点，恰恰相反，它自身是作为一个具有创造性的整体而存在的。因此，马舍雷认为，黑格尔之所以“忽视”实体中的“精神”成分，目的在于通过与斯宾诺莎主义划清界限，将斯宾诺莎的实体哲学改造为以辩证逻辑为基础的主体哲学。相关内容</w:t>
      </w:r>
      <w:r>
        <w:rPr>
          <w:rFonts w:hint="eastAsia" w:ascii="宋体" w:hAnsi="宋体" w:eastAsia="宋体" w:cs="宋体"/>
          <w:lang w:val="de-DE"/>
        </w:rPr>
        <w:t>参见</w:t>
      </w:r>
      <w:r>
        <w:rPr>
          <w:rFonts w:hint="eastAsia" w:ascii="宋体" w:hAnsi="宋体" w:eastAsia="宋体" w:cs="宋体"/>
        </w:rPr>
        <w:t>：</w:t>
      </w:r>
      <w:r>
        <w:rPr>
          <w:rFonts w:hint="eastAsia" w:eastAsia="宋体"/>
        </w:rPr>
        <w:t xml:space="preserve">Pierre Macherey: Hegel or Spinoza. </w:t>
      </w:r>
      <w:r>
        <w:rPr>
          <w:rFonts w:hint="eastAsia" w:eastAsia="宋体"/>
          <w:lang w:val="de-DE"/>
        </w:rPr>
        <w:t>Susan.M.Ruddick,</w:t>
      </w:r>
      <w:r>
        <w:rPr>
          <w:rFonts w:hint="eastAsia" w:eastAsia="宋体"/>
        </w:rPr>
        <w:t xml:space="preserve"> trans. Minneapolis: University of Minnesota Press, </w:t>
      </w:r>
      <w:r>
        <w:rPr>
          <w:rFonts w:hint="eastAsia" w:eastAsia="宋体"/>
          <w:lang w:val="de-DE"/>
        </w:rPr>
        <w:t>2011, 13~32</w:t>
      </w:r>
      <w:r>
        <w:rPr>
          <w:rFonts w:hint="eastAsia" w:ascii="宋体" w:hAnsi="宋体" w:eastAsia="宋体" w:cs="宋体"/>
          <w:lang w:val="de-DE"/>
        </w:rPr>
        <w:t>.</w:t>
      </w:r>
    </w:p>
    <w:p>
      <w:pPr>
        <w:pStyle w:val="15"/>
        <w:jc w:val="both"/>
        <w:rPr>
          <w:rFonts w:eastAsia="宋体"/>
          <w:lang w:val="de-DE"/>
        </w:rPr>
      </w:pPr>
    </w:p>
  </w:footnote>
  <w:footnote w:id="3">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参见：斯宾诺莎：《笛卡尔哲学原理》.王荫庭译.北京：商务印书馆，2019，143~144.</w:t>
      </w:r>
    </w:p>
  </w:footnote>
  <w:footnote w:id="4">
    <w:p>
      <w:pPr>
        <w:pStyle w:val="15"/>
        <w:jc w:val="both"/>
        <w:rPr>
          <w:rFonts w:ascii="宋体" w:hAnsi="宋体" w:eastAsia="宋体" w:cs="宋体"/>
          <w:highlight w:val="yellow"/>
        </w:rPr>
      </w:pPr>
      <w:r>
        <w:rPr>
          <w:rStyle w:val="28"/>
          <w:rFonts w:hint="eastAsia" w:ascii="宋体" w:hAnsi="宋体" w:eastAsia="宋体" w:cs="宋体"/>
        </w:rPr>
        <w:footnoteRef/>
      </w:r>
      <w:r>
        <w:rPr>
          <w:rFonts w:hint="eastAsia" w:ascii="宋体" w:hAnsi="宋体" w:eastAsia="宋体" w:cs="宋体"/>
        </w:rPr>
        <w:t xml:space="preserve"> 在斯宾诺莎那里，神与实体指称的是同一个东西，两者在语词使用上可以替换。这种转换的具体规定在《伦理学》第一部分的命题十一中得到体现：“实体，或神，具有无限多的属性，而它的每一个属性各表示其永恒无限的本质，必然存在。”参见：斯宾诺莎：《斯宾诺莎文集·第4卷·伦理学》.贺麟译.北京：商务印书馆，2014，9.</w:t>
      </w:r>
    </w:p>
  </w:footnote>
  <w:footnote w:id="5">
    <w:p>
      <w:pPr>
        <w:pStyle w:val="15"/>
        <w:jc w:val="both"/>
        <w:rPr>
          <w:rFonts w:ascii="宋体" w:hAnsi="宋体" w:eastAsia="宋体" w:cs="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参见：斯宾诺莎：《笛卡尔哲学原理》.王荫庭译.北京：商务印书馆，2019，123~125.</w:t>
      </w:r>
    </w:p>
  </w:footnote>
  <w:footnote w:id="6">
    <w:p>
      <w:pPr>
        <w:pStyle w:val="15"/>
        <w:jc w:val="both"/>
        <w:rPr>
          <w:rFonts w:ascii="宋体" w:hAnsi="宋体" w:eastAsia="宋体" w:cs="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参见：斯宾诺莎：《笛卡尔哲学原理》.王荫庭译.北京：商务印书馆，2019，135.</w:t>
      </w:r>
    </w:p>
  </w:footnote>
  <w:footnote w:id="7">
    <w:p>
      <w:pPr>
        <w:pStyle w:val="15"/>
        <w:jc w:val="both"/>
        <w:rPr>
          <w:rFonts w:ascii="宋体" w:hAnsi="宋体" w:eastAsia="宋体" w:cs="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所以神的理智，就它被理解为构成神的本质时，其实就是万物的原因：万物的本质以及万物的存在的原因。这一点早已为许多承认神的理智、神的意志、神的力量，是同一之物的人们所注意到了。”参见：斯宾诺莎：《斯宾诺莎文集·第4卷·伦理学》.贺麟译.北京：商务印书馆，2014，20.</w:t>
      </w:r>
    </w:p>
  </w:footnote>
  <w:footnote w:id="8">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参见：斯宾诺莎：《斯宾诺莎文集·第4卷·伦理学》.贺麟译.北京：商务印书馆，2014，5.</w:t>
      </w:r>
    </w:p>
  </w:footnote>
  <w:footnote w:id="9">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参见：斯宾诺莎：《斯宾诺莎文集·第4卷·伦理学》.贺麟译.北京：商务印书馆，2014，34.</w:t>
      </w:r>
    </w:p>
  </w:footnote>
  <w:footnote w:id="10">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参见：斯宾诺莎：《斯宾诺莎文集·第4卷·伦理学》.贺麟译.北京：商务印书馆，2014，185.</w:t>
      </w:r>
    </w:p>
  </w:footnote>
  <w:footnote w:id="11">
    <w:p>
      <w:pPr>
        <w:pStyle w:val="15"/>
        <w:jc w:val="both"/>
        <w:rPr>
          <w:rFonts w:ascii="宋体" w:hAnsi="宋体" w:eastAsia="宋体" w:cs="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应当注意，斯宾诺莎在这里将思想与广延称作两个实体而非实体的两个属性与上文的论述并不矛盾。事实上，对于实体和属性的界定直到《伦理学》中才有了准确表述，而在早期思想中，斯宾诺莎常常将这两个词混杂着使用。洪汉鼎在《神、人及其幸福简论》（以下简称《简论》）第一篇第二章的脚注中对于早期斯宾诺莎思想中这两个概念在使用上的含混性做出了详细地辨析。参见：斯宾诺莎：《神、人及其幸福简论》.洪汉鼎 孙祖培译.南京：译林出版社，2014，155.</w:t>
      </w:r>
    </w:p>
  </w:footnote>
  <w:footnote w:id="12">
    <w:p>
      <w:pPr>
        <w:pStyle w:val="15"/>
        <w:jc w:val="both"/>
        <w:rPr>
          <w:rFonts w:ascii="宋体" w:hAnsi="宋体" w:eastAsia="宋体" w:cs="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参见：斯宾诺莎：《笛卡尔哲学原理》.王荫庭译.北京：商务印书馆，2019，127~128.</w:t>
      </w:r>
    </w:p>
  </w:footnote>
  <w:footnote w:id="13">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斯宾诺莎对于知识做出了两种区分，分别体现在《简论》和《知性改进论》中。前者将知识分为文中列举的三类，而《知性改进论》中则对第一类知识做出了更为细致的区分，即区分为传闻或任意的名称或符号的知识与通过经验得来的未经理智审查的知识。而这种区分的最初形态在《简论》中同样可以看到。但是这种区分并不影响此处三分的判断，因为区分后的两类知识，根本而言始终是一种不与理智真正发生关系的“闻见之知”。关于知识的三分，参见：斯宾诺莎：《神、人及其幸福简论》.洪汉鼎 孙祖培译.南京：译林出版社，2014，192~195；关于对于第一类知识的更细致的区分，参见：斯宾诺莎：《知性改进论》.贺麟译.北京：商务印书馆，1960，26.</w:t>
      </w:r>
    </w:p>
  </w:footnote>
  <w:footnote w:id="14">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有关无限整体和有限部分的论述的其中一个版本，参见：斯宾诺莎：《斯宾诺莎文集·第4卷·伦理学》.贺麟译.北京：商务印书馆，2014，11~17；有关实体属性的论述，参见：斯宾诺莎：《笛卡尔哲学原理》.王荫庭译.北京：商务印书馆，2019，119，122，127~128.</w:t>
      </w:r>
    </w:p>
  </w:footnote>
  <w:footnote w:id="15">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参见：斯宾诺莎：《斯宾诺莎文集·第4卷·伦理学》.贺麟译.北京：商务印书馆，2014，13.</w:t>
      </w:r>
    </w:p>
  </w:footnote>
  <w:footnote w:id="16">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参见：亚里士多德：《后分析篇》（《亚里士多德全集》第1卷）.苗力田译. II. 6, 92a7-8, 320. 本文引用的亚里士多德文本均来自亚里士多德：亚里士多德全集.苗力田 译.北京：中国人民大学出版社，1990. 下引亚里士多德文本将根据研究惯例随文标注著作名、贝克[</w:t>
      </w:r>
      <w:r>
        <w:rPr>
          <w:rFonts w:eastAsia="宋体"/>
        </w:rPr>
        <w:t>Bekker</w:t>
      </w:r>
      <w:r>
        <w:rPr>
          <w:rFonts w:hint="eastAsia" w:ascii="宋体" w:hAnsi="宋体" w:eastAsia="宋体" w:cs="宋体"/>
        </w:rPr>
        <w:t>]版编码以及中文版全集页码。</w:t>
      </w:r>
    </w:p>
  </w:footnote>
  <w:footnote w:id="17">
    <w:p>
      <w:pPr>
        <w:pStyle w:val="15"/>
        <w:jc w:val="both"/>
        <w:rPr>
          <w:rFonts w:eastAsia="宋体" w:asciiTheme="majorBidi" w:hAnsiTheme="majorBidi" w:cstheme="majorBidi"/>
        </w:rPr>
      </w:pPr>
      <w:r>
        <w:rPr>
          <w:rStyle w:val="28"/>
          <w:rFonts w:ascii="宋体" w:hAnsi="宋体" w:eastAsia="宋体" w:cstheme="majorBidi"/>
        </w:rPr>
        <w:footnoteRef/>
      </w:r>
      <w:r>
        <w:rPr>
          <w:rFonts w:ascii="宋体" w:hAnsi="宋体" w:eastAsia="宋体" w:cstheme="majorBidi"/>
        </w:rPr>
        <w:t xml:space="preserve"> 参</w:t>
      </w:r>
      <w:r>
        <w:rPr>
          <w:rFonts w:eastAsia="宋体" w:asciiTheme="majorBidi" w:hAnsiTheme="majorBidi" w:cstheme="majorBidi"/>
        </w:rPr>
        <w:t xml:space="preserve">见：Christof Rapp, Klaus Corcilius: </w:t>
      </w:r>
      <w:r>
        <w:rPr>
          <w:rFonts w:eastAsia="宋体" w:asciiTheme="majorBidi" w:hAnsiTheme="majorBidi" w:cstheme="majorBidi"/>
          <w:i/>
          <w:iCs/>
        </w:rPr>
        <w:t>Aristoteles-Handbuch Leben — Werk — Wirkun</w:t>
      </w:r>
      <w:r>
        <w:rPr>
          <w:rFonts w:eastAsia="宋体" w:asciiTheme="majorBidi" w:hAnsiTheme="majorBidi" w:cstheme="majorBidi"/>
        </w:rPr>
        <w:t>g. Stuttgart: J.B. Metzler, 2011, 71.</w:t>
      </w:r>
    </w:p>
  </w:footnote>
  <w:footnote w:id="18">
    <w:p>
      <w:pPr>
        <w:pStyle w:val="15"/>
        <w:jc w:val="both"/>
        <w:rPr>
          <w:rFonts w:eastAsia="宋体" w:asciiTheme="majorBidi" w:hAnsiTheme="majorBidi" w:cstheme="majorBidi"/>
        </w:rPr>
      </w:pPr>
      <w:r>
        <w:rPr>
          <w:rStyle w:val="28"/>
          <w:rFonts w:ascii="宋体" w:hAnsi="宋体" w:eastAsia="宋体" w:cstheme="majorBidi"/>
        </w:rPr>
        <w:footnoteRef/>
      </w:r>
      <w:r>
        <w:rPr>
          <w:rFonts w:ascii="宋体" w:hAnsi="宋体" w:eastAsia="宋体" w:cstheme="majorBidi"/>
        </w:rPr>
        <w:t xml:space="preserve"> 参见：</w:t>
      </w:r>
      <w:r>
        <w:rPr>
          <w:rFonts w:eastAsia="宋体" w:asciiTheme="majorBidi" w:hAnsiTheme="majorBidi" w:cstheme="majorBidi"/>
        </w:rPr>
        <w:t xml:space="preserve">Christof Rapp, Klaus Corcilius: </w:t>
      </w:r>
      <w:r>
        <w:rPr>
          <w:rFonts w:eastAsia="宋体" w:asciiTheme="majorBidi" w:hAnsiTheme="majorBidi" w:cstheme="majorBidi"/>
          <w:i/>
          <w:iCs/>
        </w:rPr>
        <w:t>Aristoteles-Handbuch Leben — Werk — Wirkun</w:t>
      </w:r>
      <w:r>
        <w:rPr>
          <w:rFonts w:eastAsia="宋体" w:asciiTheme="majorBidi" w:hAnsiTheme="majorBidi" w:cstheme="majorBidi"/>
        </w:rPr>
        <w:t>g. Stuttgart: J.B. Metzler, 2011, 70.</w:t>
      </w:r>
    </w:p>
  </w:footnote>
  <w:footnote w:id="19">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此外，我们还应当注意，亚里士多德那里的研究对象——实体是存在等级划分的，在《形而上学》第十一卷中，亚里士多德通过区分科学的研究对象区分三类实体，分别是具有生灭的运动实体、不生不灭的运动实体和永恒的不动实体（即“不动的动者”）。研究三类实体的思辨科学分别是物理学、数学和神学。(参见：亚里士多德：《形而上学》（《亚里士多德全集》第7卷）.苗力田译. Λ. 7, 1063b36-1064b15, 253-254.)这种区分和对应向我们表明，在亚里士多德那里，实体具有明确的等级区分的；相应地，他们的完满性也就有差异，只有“不动的动者”——神才是最完满的存在。而在斯宾诺莎那里，由于一切事物都处于神之内，用于产生特殊事物的样式同样是从神那里流出的，所以一切用于创造的样式对于斯宾诺莎来说都是完满的存在，平等性因素也就成为了斯宾诺莎的“本质”概念中乃至整个体系中的重要因素。因此，斯宾诺莎在这一点上同样与亚里士多德有极大的不同。</w:t>
      </w:r>
    </w:p>
  </w:footnote>
  <w:footnote w:id="20">
    <w:p>
      <w:pPr>
        <w:pStyle w:val="6"/>
        <w:jc w:val="both"/>
        <w:rPr>
          <w:rFonts w:ascii="宋体" w:hAnsi="宋体" w:eastAsia="宋体" w:cs="宋体"/>
          <w:sz w:val="18"/>
          <w:szCs w:val="18"/>
        </w:rPr>
      </w:pPr>
      <w:r>
        <w:rPr>
          <w:rStyle w:val="28"/>
          <w:rFonts w:hint="eastAsia" w:ascii="宋体" w:hAnsi="宋体" w:eastAsia="宋体" w:cs="宋体"/>
          <w:sz w:val="18"/>
          <w:szCs w:val="18"/>
        </w:rPr>
        <w:footnoteRef/>
      </w:r>
      <w:r>
        <w:rPr>
          <w:rStyle w:val="28"/>
          <w:rFonts w:hint="eastAsia" w:ascii="宋体" w:hAnsi="宋体" w:eastAsia="宋体" w:cs="宋体"/>
          <w:sz w:val="18"/>
          <w:szCs w:val="18"/>
        </w:rPr>
        <w:t xml:space="preserve"> </w:t>
      </w:r>
      <w:r>
        <w:rPr>
          <w:rFonts w:hint="eastAsia" w:ascii="宋体" w:hAnsi="宋体" w:eastAsia="宋体" w:cs="宋体"/>
          <w:sz w:val="18"/>
          <w:szCs w:val="18"/>
        </w:rPr>
        <w:t>“本质作为‘前—力量’？”这一表述既是对于上一小节的承接，也是“本质作为‘前—力量’”这一表述的质疑。</w:t>
      </w:r>
    </w:p>
  </w:footnote>
  <w:footnote w:id="21">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参见：斯宾诺莎：《斯宾诺莎文集·第4卷·伦理学》.贺麟译.北京：商务印书馆，2014，210.</w:t>
      </w:r>
    </w:p>
  </w:footnote>
  <w:footnote w:id="22">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参见：斯宾诺莎：《笛卡尔哲学原理》.王荫庭译.北京：商务印书馆，2019，106~107.</w:t>
      </w:r>
    </w:p>
  </w:footnote>
  <w:footnote w:id="23">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此为斯宾诺莎在</w:t>
      </w:r>
      <w:r>
        <w:rPr>
          <w:rFonts w:hint="eastAsia" w:ascii="宋体" w:hAnsi="宋体" w:eastAsia="宋体" w:cs="宋体"/>
          <w:szCs w:val="21"/>
          <w:lang w:val="de-DE"/>
        </w:rPr>
        <w:t>1674年6月2日为了答复耶勒斯有关“神的单一性证明”的疑惑的答复的一部分，该信件后作为第50封信收入《斯宾诺莎书信集》。参见：</w:t>
      </w:r>
      <w:r>
        <w:rPr>
          <w:rFonts w:hint="eastAsia" w:ascii="宋体" w:hAnsi="宋体" w:eastAsia="宋体" w:cs="宋体"/>
        </w:rPr>
        <w:t>斯宾诺莎：《斯宾诺莎书信集》.洪汉鼎译.北京：商务印书馆，1993，227.二者争论的相关文本属于斯宾诺莎《形而上学思想》第一编第六章的一部分。参见：斯宾诺莎：《笛卡尔哲学原理》.王荫庭译.北京：商务印书馆，2019，114.</w:t>
      </w:r>
    </w:p>
  </w:footnote>
  <w:footnote w:id="24">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我恳求读者在这里不要产生思维的跳跃，即先入为主的认为本质、存在、理智和力量在神那里是同一的。虽然“力量三角形”的设定向我们表明这种可能性，但在结束本文的考察之前，我们应当以无知的心态来对待上述论证，我相信，只有这样才能尽可能接近真理，反之，任何有限思想中的成见都可能会干扰到我们考察工作的进行。</w:t>
      </w:r>
    </w:p>
  </w:footnote>
  <w:footnote w:id="25">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以上两段引文均参见：斯宾诺莎：《斯宾诺莎文集·第4卷·伦理学》.贺麟译.北京：商务印书馆，2014，210.</w:t>
      </w:r>
    </w:p>
  </w:footnote>
  <w:footnote w:id="26">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参见：斯宾诺莎：《斯宾诺莎文集·第4卷·伦理学》.贺麟译.北京：商务印书馆，2014，1.</w:t>
      </w:r>
    </w:p>
  </w:footnote>
  <w:footnote w:id="27">
    <w:p>
      <w:pPr>
        <w:pStyle w:val="15"/>
        <w:jc w:val="both"/>
        <w:rPr>
          <w:rFonts w:ascii="宋体" w:hAnsi="宋体" w:eastAsia="宋体" w:cs="宋体"/>
          <w:lang w:val="de-DE"/>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szCs w:val="21"/>
          <w:lang w:val="de-DE"/>
        </w:rPr>
        <w:t>本句出自上文提到的斯宾诺莎与耶勒斯探讨</w:t>
      </w:r>
      <w:r>
        <w:rPr>
          <w:rFonts w:hint="eastAsia" w:ascii="宋体" w:hAnsi="宋体" w:eastAsia="宋体" w:cs="宋体"/>
          <w:szCs w:val="21"/>
        </w:rPr>
        <w:t>“</w:t>
      </w:r>
      <w:r>
        <w:rPr>
          <w:rFonts w:hint="eastAsia" w:ascii="宋体" w:hAnsi="宋体" w:eastAsia="宋体" w:cs="宋体"/>
          <w:szCs w:val="21"/>
          <w:lang w:val="de-DE"/>
        </w:rPr>
        <w:t>神的单一性</w:t>
      </w:r>
      <w:r>
        <w:rPr>
          <w:rFonts w:hint="eastAsia" w:ascii="宋体" w:hAnsi="宋体" w:eastAsia="宋体" w:cs="宋体"/>
          <w:szCs w:val="21"/>
        </w:rPr>
        <w:t>”</w:t>
      </w:r>
      <w:r>
        <w:rPr>
          <w:rFonts w:hint="eastAsia" w:ascii="宋体" w:hAnsi="宋体" w:eastAsia="宋体" w:cs="宋体"/>
          <w:szCs w:val="21"/>
          <w:lang w:val="de-DE"/>
        </w:rPr>
        <w:t>证明的信中。该信件后作为第50封信收入《斯宾诺莎书信集》。</w:t>
      </w:r>
      <w:r>
        <w:rPr>
          <w:rFonts w:hint="eastAsia" w:ascii="宋体" w:hAnsi="宋体" w:eastAsia="宋体" w:cs="宋体"/>
        </w:rPr>
        <w:t>参见：斯宾诺莎：《斯宾诺莎书信集》.洪汉鼎译.北京：商务印书馆，1993，228.</w:t>
      </w:r>
    </w:p>
  </w:footnote>
  <w:footnote w:id="28">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参见：斯宾诺莎：《笛卡尔哲学原理》.王荫庭译.北京：商务印书馆，2019，147.</w:t>
      </w:r>
    </w:p>
  </w:footnote>
  <w:footnote w:id="29">
    <w:p>
      <w:pPr>
        <w:pStyle w:val="15"/>
        <w:jc w:val="both"/>
        <w:rPr>
          <w:rFonts w:eastAsia="宋体"/>
        </w:rPr>
      </w:pPr>
      <w:r>
        <w:rPr>
          <w:rStyle w:val="28"/>
          <w:rFonts w:hint="eastAsia" w:ascii="宋体" w:hAnsi="宋体" w:eastAsia="宋体" w:cs="宋体"/>
        </w:rPr>
        <w:footnoteRef/>
      </w:r>
      <w:r>
        <w:rPr>
          <w:rFonts w:hint="eastAsia" w:ascii="宋体" w:hAnsi="宋体" w:eastAsia="宋体" w:cs="宋体"/>
        </w:rPr>
        <w:t xml:space="preserve"> 对于这里的“必然性”的进一步区分可以在格里芬（</w:t>
      </w:r>
      <w:r>
        <w:rPr>
          <w:rFonts w:eastAsia="宋体"/>
        </w:rPr>
        <w:t>Micheal V. Griffin</w:t>
      </w:r>
      <w:r>
        <w:rPr>
          <w:rFonts w:hint="eastAsia" w:ascii="宋体" w:hAnsi="宋体" w:eastAsia="宋体" w:cs="宋体"/>
        </w:rPr>
        <w:t>）对于伯内特（</w:t>
      </w:r>
      <w:r>
        <w:rPr>
          <w:rFonts w:hint="eastAsia" w:eastAsia="宋体"/>
        </w:rPr>
        <w:t>Bennett</w:t>
      </w:r>
      <w:r>
        <w:rPr>
          <w:rFonts w:hint="eastAsia" w:ascii="宋体" w:hAnsi="宋体" w:eastAsia="宋体" w:cs="宋体"/>
        </w:rPr>
        <w:t>）观点的转述中看到。“必然性”被区分为“绝对必然性（</w:t>
      </w:r>
      <w:r>
        <w:rPr>
          <w:rFonts w:hint="eastAsia" w:eastAsia="宋体"/>
        </w:rPr>
        <w:t>absolute necessity</w:t>
      </w:r>
      <w:r>
        <w:rPr>
          <w:rFonts w:hint="eastAsia" w:ascii="宋体" w:hAnsi="宋体" w:eastAsia="宋体" w:cs="宋体"/>
        </w:rPr>
        <w:t>）”和“获得必然性（</w:t>
      </w:r>
      <w:r>
        <w:rPr>
          <w:rFonts w:hint="eastAsia" w:eastAsia="宋体"/>
        </w:rPr>
        <w:t>acquired necessity</w:t>
      </w:r>
      <w:r>
        <w:rPr>
          <w:rFonts w:hint="eastAsia" w:ascii="宋体" w:hAnsi="宋体" w:eastAsia="宋体" w:cs="宋体"/>
        </w:rPr>
        <w:t>）”。伯内特将前者规定为“作为单一概念的必然性（</w:t>
      </w:r>
      <w:r>
        <w:rPr>
          <w:rFonts w:hint="eastAsia" w:eastAsia="宋体"/>
        </w:rPr>
        <w:t>a single concept of necessity</w:t>
      </w:r>
      <w:r>
        <w:rPr>
          <w:rFonts w:hint="eastAsia" w:ascii="宋体" w:hAnsi="宋体" w:eastAsia="宋体" w:cs="宋体"/>
        </w:rPr>
        <w:t>）”，“内在必然性（</w:t>
      </w:r>
      <w:r>
        <w:rPr>
          <w:rFonts w:hint="eastAsia" w:eastAsia="宋体"/>
        </w:rPr>
        <w:t>inherent necessity</w:t>
      </w:r>
      <w:r>
        <w:rPr>
          <w:rFonts w:hint="eastAsia" w:ascii="宋体" w:hAnsi="宋体" w:eastAsia="宋体" w:cs="宋体"/>
        </w:rPr>
        <w:t>）”和“获得必然性”都存在于其中。而对后者的定义，伯内特则借助莱布尼兹“可能世界”的规定提出，作为“获得必然性”需要满足两个条件：（1）具有该必然性的事物在所有的可能世界中都为真；（2）不具有内在必然性的事物可以使该种必然性包含于它之中，即“P具有‘获得必然性’=定义：P从某些绝对必然的Q那里继承了某种‘必然性’”。倘若回顾斯宾诺莎的界定，这种区分实际上与斯宾诺莎所谓的“实体自身的必然性”和“实体直接产生的事物的必然性”相一致。在实体那里，“必然性”体现为单一的规定性，即自因；而在“由实体直接产生的事物”那里，“必然性”则可以以一种“附加”的方式包含于其中，因此其“必然性”就是伯内特所谓的“获得必然性”。参见</w:t>
      </w:r>
      <w:r>
        <w:rPr>
          <w:rFonts w:hint="eastAsia" w:eastAsia="宋体"/>
        </w:rPr>
        <w:t>：Michael V. Griffin. Necessitarianism in Spinoza and Leibniz. In: Charlie Huenemann, eds. Interpreting Spinoza: Critical Essays. Cambridge: Cambridge University Press, 2008, 90.</w:t>
      </w:r>
    </w:p>
  </w:footnote>
  <w:footnote w:id="30">
    <w:p>
      <w:pPr>
        <w:pStyle w:val="15"/>
      </w:pPr>
      <w:r>
        <w:rPr>
          <w:rStyle w:val="28"/>
        </w:rPr>
        <w:footnoteRef/>
      </w:r>
      <w:r>
        <w:t xml:space="preserve"> </w:t>
      </w:r>
      <w:r>
        <w:rPr>
          <w:rFonts w:hint="eastAsia" w:ascii="宋体" w:hAnsi="宋体" w:eastAsia="宋体" w:cs="宋体"/>
        </w:rPr>
        <w:t>参见：斯宾诺莎：《笛卡</w:t>
      </w:r>
      <w:r>
        <w:rPr>
          <w:rFonts w:hint="eastAsia" w:ascii="宋体" w:hAnsi="宋体" w:eastAsia="宋体" w:cs="宋体"/>
          <w:color w:val="000000" w:themeColor="text1"/>
          <w:szCs w:val="21"/>
          <w:shd w:val="clear" w:color="auto" w:fill="FFFFFF"/>
        </w:rPr>
        <w:t>尔哲学原理》.王荫庭译.北京：商务印书馆，2019，105~106.</w:t>
      </w:r>
    </w:p>
  </w:footnote>
  <w:footnote w:id="31">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参见：斯宾诺莎：《笛卡</w:t>
      </w:r>
      <w:r>
        <w:rPr>
          <w:rFonts w:hint="eastAsia" w:ascii="宋体" w:hAnsi="宋体" w:eastAsia="宋体" w:cs="宋体"/>
          <w:color w:val="000000" w:themeColor="text1"/>
          <w:szCs w:val="21"/>
          <w:shd w:val="clear" w:color="auto" w:fill="FFFFFF"/>
        </w:rPr>
        <w:t>尔哲学原理》.王荫庭译.北京：商务印书馆，2019，106.</w:t>
      </w:r>
    </w:p>
  </w:footnote>
  <w:footnote w:id="32">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参见：斯宾诺莎：《斯宾诺莎文集·第四卷·伦理学》.贺麟译.北京：商务印书馆，2014，25.</w:t>
      </w:r>
    </w:p>
  </w:footnote>
  <w:footnote w:id="33">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这一部分将在第四部分的第三小节中展开论述，在此仅大概提及。</w:t>
      </w:r>
    </w:p>
  </w:footnote>
  <w:footnote w:id="34">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参见：阿摩斯·冯肯斯坦：《神学与科学的想象》.毛竹译.上海：生活·读书·新知三联书店，2019，33.</w:t>
      </w:r>
    </w:p>
  </w:footnote>
  <w:footnote w:id="35">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亨利·莫尔（</w:t>
      </w:r>
      <w:r>
        <w:rPr>
          <w:rFonts w:eastAsia="宋体"/>
        </w:rPr>
        <w:t>Henry More</w:t>
      </w:r>
      <w:r>
        <w:rPr>
          <w:rFonts w:hint="eastAsia" w:ascii="宋体" w:hAnsi="宋体" w:eastAsia="宋体" w:cs="宋体"/>
        </w:rPr>
        <w:t>），神智学家，剑桥柏拉图学派代表人物。在柏拉图主义传统的影响下，莫尔不仅与那个时代的其他柏拉图主义者那样，注重对“被注入灵魂的宇宙”的强调。他还认为，应当对于“力（</w:t>
      </w:r>
      <w:r>
        <w:rPr>
          <w:rFonts w:eastAsia="宋体"/>
        </w:rPr>
        <w:t>force</w:t>
      </w:r>
      <w:r>
        <w:rPr>
          <w:rFonts w:hint="eastAsia" w:ascii="宋体" w:hAnsi="宋体" w:eastAsia="宋体" w:cs="宋体"/>
        </w:rPr>
        <w:t>）”“精神（</w:t>
      </w:r>
      <w:r>
        <w:rPr>
          <w:rFonts w:hint="eastAsia" w:eastAsia="宋体"/>
        </w:rPr>
        <w:t>spirit</w:t>
      </w:r>
      <w:r>
        <w:rPr>
          <w:rFonts w:hint="eastAsia" w:ascii="宋体" w:hAnsi="宋体" w:eastAsia="宋体" w:cs="宋体"/>
        </w:rPr>
        <w:t>）”等概念均作出清楚分明的界定，这与他追求对上帝本质的探求是一致的。此外，他还作为新柏拉图主义者的代表，在剑桥大学关于牛顿的“力”的大讨论中发挥着重要作用。他揭示出了牛顿的“力”背后的柏拉图主义传统，主张以一种自然神论的视角看待牛顿的“力”，并将“力”作为自然的本质。通过将雅阁·波墨（</w:t>
      </w:r>
      <w:r>
        <w:rPr>
          <w:rFonts w:hint="eastAsia" w:eastAsia="宋体"/>
        </w:rPr>
        <w:t>Jacob B</w:t>
      </w:r>
      <w:r>
        <w:rPr>
          <w:rFonts w:hint="eastAsia" w:eastAsia="宋体"/>
          <w:lang w:val="de-DE"/>
        </w:rPr>
        <w:t>öhme</w:t>
      </w:r>
      <w:r>
        <w:rPr>
          <w:rFonts w:hint="eastAsia" w:ascii="宋体" w:hAnsi="宋体" w:eastAsia="宋体" w:cs="宋体"/>
        </w:rPr>
        <w:t>）的神秘主义传统与牛顿的“力”进行联合阐释，他企图揭示出自然界背后所蕴涵的有机特征，因此同与他同时代的笛卡尔主义的机械论有很大不同。参见：</w:t>
      </w:r>
      <w:r>
        <w:rPr>
          <w:rFonts w:hint="eastAsia" w:eastAsia="宋体"/>
        </w:rPr>
        <w:t>M. Jammer. Concept of Force: A Study in the Foundations of Dynamics. New York: Harper, 1962, 116~157.</w:t>
      </w:r>
    </w:p>
  </w:footnote>
  <w:footnote w:id="36">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参见：笛卡尔：《第一哲学沉思集》.庞景仁译.北京：商务印书馆，1986，43.</w:t>
      </w:r>
    </w:p>
  </w:footnote>
  <w:footnote w:id="37">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参见：笛卡尔：《第一哲学沉思集》.庞景仁译.北京：商务印书馆，1986，69.</w:t>
      </w:r>
    </w:p>
  </w:footnote>
  <w:footnote w:id="38">
    <w:p>
      <w:pPr>
        <w:pStyle w:val="15"/>
        <w:jc w:val="both"/>
        <w:rPr>
          <w:rFonts w:eastAsia="宋体"/>
        </w:rPr>
      </w:pPr>
      <w:r>
        <w:rPr>
          <w:rStyle w:val="28"/>
        </w:rPr>
        <w:footnoteRef/>
      </w:r>
      <w:r>
        <w:t xml:space="preserve"> </w:t>
      </w:r>
      <w:r>
        <w:rPr>
          <w:rFonts w:hint="eastAsia" w:eastAsia="宋体"/>
        </w:rPr>
        <w:t>在笛卡尔的另一部著作——《哲学原理》中，笛卡尔提出了除了上述两种路径外的第三种和第四种阐释路径，即因果论证和力量论证。前者体现在第一章命题二十：“我们不是自己的原因，只有上帝是我们的原因，因此，就有一位上帝。”后者体现在第一章命题二十一：“只有我们生命的绵延，足以解证出上帝的存在来。”在论证中，笛卡尔仍然使用“清楚分明”原则进行证明，但展现出了某种与《第一哲学沉思集》不同而更接近于斯宾诺莎思想的证明思路。在对命题二十一的论证中，他提到“我们并没有保存自己的能力，而有能力借其自身来保护我们的那位神，一定也凭着更大的理由保存他自己，一定不需要别的事物来保存他，因此，他就不能不是上帝了。”这就与斯宾诺莎在《伦理学》中的论述（我们下文即将看到），在思路上极其相似。不过，笛卡尔并没有在证明中对存在、力量和绵延三个概念做出明确的区分。这为斯宾诺莎的阐释留下了空间。参见：笛卡尔：《哲学原理》</w:t>
      </w:r>
      <w:r>
        <w:rPr>
          <w:rFonts w:hint="eastAsia" w:ascii="宋体" w:hAnsi="宋体" w:eastAsia="宋体" w:cs="宋体"/>
        </w:rPr>
        <w:t>.关文运译.北京：商务印书馆，1959，8~9.</w:t>
      </w:r>
    </w:p>
  </w:footnote>
  <w:footnote w:id="39">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参见：吉尔·德勒兹：</w:t>
      </w:r>
      <w:r>
        <w:rPr>
          <w:rFonts w:hint="eastAsia" w:ascii="宋体" w:hAnsi="宋体" w:eastAsia="宋体" w:cs="宋体"/>
          <w:lang w:val="de-DE"/>
        </w:rPr>
        <w:t>《斯宾诺莎与表现问题》.龚重林译.北京：商务印书馆，2019，75.</w:t>
      </w:r>
    </w:p>
  </w:footnote>
  <w:footnote w:id="40">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参见：吉尔·德勒兹：《斯宾诺莎与表现问题》.龚重林译.北京：商务印书馆，2019，78.</w:t>
      </w:r>
    </w:p>
  </w:footnote>
  <w:footnote w:id="41">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应当注意“先天的”和“后天的”，在斯宾诺莎哲学和康德哲学中的不同含义。斯宾诺莎所谓的先天指的是由因到果，而后天则是由果溯因。参见：斯宾诺莎：《神、人及其幸福简论》.洪汉鼎 孙祖培译.南京：译林出版社，2014，143.</w:t>
      </w:r>
    </w:p>
  </w:footnote>
  <w:footnote w:id="42">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这里，“客观的（</w:t>
      </w:r>
      <w:r>
        <w:rPr>
          <w:rFonts w:eastAsia="宋体"/>
        </w:rPr>
        <w:t>objective</w:t>
      </w:r>
      <w:r>
        <w:rPr>
          <w:rFonts w:hint="eastAsia" w:ascii="宋体" w:hAnsi="宋体" w:eastAsia="宋体" w:cs="宋体"/>
        </w:rPr>
        <w:t>）”的运用是采用的经院哲学的术语。与我们的日常理解完全相反，“客观的”指的是“主观的，思想观念中的”；“形式的（</w:t>
      </w:r>
      <w:r>
        <w:rPr>
          <w:rFonts w:eastAsia="宋体"/>
        </w:rPr>
        <w:t>formalis</w:t>
      </w:r>
      <w:r>
        <w:rPr>
          <w:rFonts w:hint="eastAsia" w:ascii="宋体" w:hAnsi="宋体" w:eastAsia="宋体" w:cs="宋体"/>
        </w:rPr>
        <w:t>）”则指的是“客观的、现实的（</w:t>
      </w:r>
      <w:r>
        <w:rPr>
          <w:rFonts w:eastAsia="宋体"/>
        </w:rPr>
        <w:t>actualis</w:t>
      </w:r>
      <w:r>
        <w:rPr>
          <w:rFonts w:hint="eastAsia" w:ascii="宋体" w:hAnsi="宋体" w:eastAsia="宋体" w:cs="宋体"/>
        </w:rPr>
        <w:t>）”。参见：斯宾诺莎：《神、人及其幸福简论》.洪汉鼎 孙祖培译.南京：译林出版社，2014，143.</w:t>
      </w:r>
    </w:p>
  </w:footnote>
  <w:footnote w:id="43">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参见：斯宾诺莎：《神、人及其幸福简论》.洪汉鼎 孙祖培译.南京：译林出版社，2014，141.</w:t>
      </w:r>
    </w:p>
  </w:footnote>
  <w:footnote w:id="44">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w:t>
      </w:r>
      <w:r>
        <w:rPr>
          <w:rFonts w:hint="eastAsia" w:ascii="宋体" w:hAnsi="宋体" w:eastAsia="宋体" w:cs="宋体"/>
          <w:color w:val="000000" w:themeColor="text1"/>
          <w:szCs w:val="21"/>
          <w:shd w:val="clear" w:color="auto" w:fill="FFFFFF"/>
        </w:rPr>
        <w:t>斯宾诺莎：《笛卡尔哲学原理》.王荫庭译.北京：商务印书馆，2019，30.</w:t>
      </w:r>
    </w:p>
  </w:footnote>
  <w:footnote w:id="45">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参见：斯宾诺莎：《笛卡尔哲学原理》.王荫庭译.北京：商务印书馆，2019，35.</w:t>
      </w:r>
    </w:p>
  </w:footnote>
  <w:footnote w:id="46">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w:t>
      </w:r>
      <w:r>
        <w:rPr>
          <w:rFonts w:hint="eastAsia" w:ascii="宋体" w:hAnsi="宋体" w:eastAsia="宋体" w:cs="宋体"/>
          <w:color w:val="000000" w:themeColor="text1"/>
          <w:szCs w:val="21"/>
          <w:shd w:val="clear" w:color="auto" w:fill="FFFFFF"/>
        </w:rPr>
        <w:t>斯宾诺莎：《笛卡尔哲学原理》.王荫庭译.北京：商务印书馆，2019，36.</w:t>
      </w:r>
    </w:p>
  </w:footnote>
  <w:footnote w:id="47">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德勒兹在1950年代的一个课程讲义的第七章“原则之基础”中提出，要重视对哲学中普遍存在的“基础概念”的考察，这种“基础概念”的两个极端形式的是“方法（</w:t>
      </w:r>
      <w:r>
        <w:rPr>
          <w:rFonts w:eastAsia="宋体"/>
        </w:rPr>
        <w:t>méthode</w:t>
      </w:r>
      <w:r>
        <w:rPr>
          <w:rFonts w:hint="eastAsia" w:ascii="宋体" w:hAnsi="宋体" w:eastAsia="宋体" w:cs="宋体"/>
        </w:rPr>
        <w:t>）”和“体系（</w:t>
      </w:r>
      <w:r>
        <w:rPr>
          <w:rFonts w:eastAsia="宋体"/>
        </w:rPr>
        <w:t>système</w:t>
      </w:r>
      <w:r>
        <w:rPr>
          <w:rFonts w:hint="eastAsia" w:ascii="宋体" w:hAnsi="宋体" w:eastAsia="宋体" w:cs="宋体"/>
        </w:rPr>
        <w:t>）”。在其讲义中，“方法”具有三点特征：开端要求，即要求从绝对直接的事物出发，如笛卡尔对于“我思”的强调；经济原则要求，即要求通过最小限度的手段达到最大限度的效果，反对“体系”中概念的豪奢；人造与虚构，即要求对于事物秩序的想象与虚构，保持思想的连贯运动。其最终目的即“在于通过人为的手段重新发现思想的纯粹本性”。因此，是冯肯斯坦那里所说的从“属人的知识”这一视角出发获得的认知。而与方法相比，笔者认为，“体系”在德勒兹那里，则更强调以下三点：一是对于现实活动的复制与现实活动本身是一致的，这一点可以从斯宾诺莎对“真观念”的论证中看出；二是强调思想及其对象的相互内在性，即一切思想形态都具有对应的对象，而在斯宾诺莎那里，就表现为一种极端情况，即一切思想形态及其对象都被包含在“实体系统”之中；三是体系的存在依赖于有机体的形成力（康德）或“整体—环节”的逻辑关系（黑格尔）。只有通过强调事物或有机体内在的生命活力，才能够维持体系作为一个整体存在的地位。通过对“方法”和“体系”的对比，联系笛卡尔和斯宾诺莎的哲学，我们就可以看出这种“转向”的依据及其意义何在。关于德勒兹对“方法”和“体系”的具体论述，参见：德勒兹：《德勒兹课程讲义》.安靖译.待出版.</w:t>
      </w:r>
    </w:p>
  </w:footnote>
  <w:footnote w:id="48">
    <w:p>
      <w:pPr>
        <w:jc w:val="both"/>
        <w:rPr>
          <w:rFonts w:ascii="宋体" w:hAnsi="宋体" w:eastAsia="宋体" w:cs="宋体"/>
          <w:sz w:val="18"/>
          <w:szCs w:val="18"/>
        </w:rPr>
      </w:pPr>
      <w:r>
        <w:rPr>
          <w:rStyle w:val="28"/>
          <w:rFonts w:hint="eastAsia" w:ascii="宋体" w:hAnsi="宋体" w:eastAsia="宋体" w:cs="宋体"/>
          <w:sz w:val="18"/>
          <w:szCs w:val="20"/>
        </w:rPr>
        <w:footnoteRef/>
      </w:r>
      <w:r>
        <w:rPr>
          <w:rStyle w:val="28"/>
          <w:rFonts w:hint="eastAsia" w:ascii="宋体" w:hAnsi="宋体" w:eastAsia="宋体" w:cs="宋体"/>
          <w:sz w:val="18"/>
          <w:szCs w:val="20"/>
        </w:rPr>
        <w:t xml:space="preserve"> </w:t>
      </w:r>
      <w:r>
        <w:rPr>
          <w:rFonts w:hint="eastAsia" w:ascii="宋体" w:hAnsi="宋体" w:eastAsia="宋体" w:cs="宋体"/>
          <w:sz w:val="18"/>
          <w:szCs w:val="18"/>
        </w:rPr>
        <w:t>“不能够存在就是无力，反之能够存在就是有力。”</w:t>
      </w:r>
    </w:p>
    <w:p>
      <w:pPr>
        <w:pStyle w:val="15"/>
        <w:jc w:val="both"/>
        <w:rPr>
          <w:rFonts w:ascii="宋体" w:hAnsi="宋体" w:eastAsia="宋体" w:cs="宋体"/>
        </w:rPr>
      </w:pPr>
      <w:r>
        <w:rPr>
          <w:rFonts w:hint="eastAsia" w:ascii="宋体" w:hAnsi="宋体" w:eastAsia="宋体" w:cs="宋体"/>
        </w:rPr>
        <w:t>拉丁文参见：</w:t>
      </w:r>
      <w:r>
        <w:rPr>
          <w:rFonts w:eastAsia="宋体"/>
        </w:rPr>
        <w:t xml:space="preserve">Benedictus de Spinoza: </w:t>
      </w:r>
      <w:r>
        <w:rPr>
          <w:rFonts w:eastAsia="宋体"/>
          <w:i/>
          <w:iCs/>
        </w:rPr>
        <w:t>Ethica Ordine Geometrico Demonstrata</w:t>
      </w:r>
      <w:r>
        <w:rPr>
          <w:rFonts w:eastAsia="宋体"/>
        </w:rPr>
        <w:t xml:space="preserve">, Gebhardt, PARS I, De Deo, Propositio 11, aliter 2. </w:t>
      </w:r>
      <w:r>
        <w:fldChar w:fldCharType="begin"/>
      </w:r>
      <w:r>
        <w:instrText xml:space="preserve"> HYPERLINK "http://ethicadb.org/pars.php?parid=1&amp;lanid=0&amp;lg=en&amp;ftop=4070px" </w:instrText>
      </w:r>
      <w:r>
        <w:fldChar w:fldCharType="separate"/>
      </w:r>
      <w:r>
        <w:rPr>
          <w:rFonts w:eastAsia="宋体"/>
        </w:rPr>
        <w:t>http://ethicadb.org/pars.php?parid=1&amp;lanid=0&amp;lg=en&amp;ftop=4070px#</w:t>
      </w:r>
      <w:r>
        <w:rPr>
          <w:rFonts w:eastAsia="宋体"/>
        </w:rPr>
        <w:fldChar w:fldCharType="end"/>
      </w:r>
      <w:r>
        <w:rPr>
          <w:rFonts w:hint="eastAsia" w:ascii="宋体" w:hAnsi="宋体" w:eastAsia="宋体" w:cs="宋体"/>
        </w:rPr>
        <w:t>；</w:t>
      </w:r>
    </w:p>
    <w:p>
      <w:pPr>
        <w:pStyle w:val="15"/>
        <w:jc w:val="both"/>
        <w:rPr>
          <w:rFonts w:ascii="宋体" w:hAnsi="宋体" w:eastAsia="宋体" w:cs="宋体"/>
          <w:color w:val="000000" w:themeColor="text1"/>
          <w:szCs w:val="21"/>
          <w:shd w:val="clear" w:color="auto" w:fill="FFFFFF"/>
        </w:rPr>
      </w:pPr>
      <w:r>
        <w:rPr>
          <w:rFonts w:hint="eastAsia" w:ascii="宋体" w:hAnsi="宋体" w:eastAsia="宋体" w:cs="宋体"/>
        </w:rPr>
        <w:t>中文参见：斯宾诺莎：《斯宾诺莎文集·第4卷·伦理学》.贺麟译.北京：商务印书馆，2014，10.</w:t>
      </w:r>
    </w:p>
  </w:footnote>
  <w:footnote w:id="49">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参见：斯宾诺莎：《斯宾诺莎文集·第4卷·伦理学》.贺麟译.北京：商务印书馆，2014，10.</w:t>
      </w:r>
    </w:p>
  </w:footnote>
  <w:footnote w:id="50">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参见：斯宾诺莎：《斯宾诺莎文集·第4卷·伦理学》.贺麟译.北京：商务印书馆，2014，10.</w:t>
      </w:r>
    </w:p>
  </w:footnote>
  <w:footnote w:id="51">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szCs w:val="21"/>
          <w:lang w:val="de-DE"/>
        </w:rPr>
        <w:t xml:space="preserve"> </w:t>
      </w:r>
      <w:r>
        <w:rPr>
          <w:rFonts w:hint="eastAsia" w:ascii="宋体" w:hAnsi="宋体" w:eastAsia="宋体" w:cs="宋体"/>
        </w:rPr>
        <w:t>参见：斯宾诺莎：《斯宾诺莎文集·第4卷·伦理学》.贺麟译.北京：商务印书馆，2014，8.</w:t>
      </w:r>
    </w:p>
  </w:footnote>
  <w:footnote w:id="52">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此为洪汉鼎在《简论》中的翻译，而贺麟在《伦理学》中将其译为“能动的自然”和“被动的自然”，虽然简洁明了，但是未免有偏离拉丁词原意而过度简单化的嫌疑，故采用洪的译名。此外，笔者认为有必要提醒读者，“自然（</w:t>
      </w:r>
      <w:r>
        <w:rPr>
          <w:rFonts w:eastAsia="宋体"/>
        </w:rPr>
        <w:t>natur</w:t>
      </w:r>
      <w:r>
        <w:rPr>
          <w:rFonts w:hint="eastAsia" w:ascii="宋体" w:hAnsi="宋体" w:eastAsia="宋体" w:cs="宋体"/>
        </w:rPr>
        <w:t>）”在斯宾诺莎的哲学中有时可以等同于“神”或“实体”，但是斯宾诺莎对于“自然”一直缺乏一个明确的界说。尽管斯宾诺莎已经通过区分两种自然使我们认识到了“自然”本身所具有的积极和消极的方面，但是就“自然”概念本身而言，它始终处于一种无规定的模糊状态。</w:t>
      </w:r>
    </w:p>
  </w:footnote>
  <w:footnote w:id="53">
    <w:p>
      <w:pPr>
        <w:pStyle w:val="15"/>
        <w:jc w:val="both"/>
        <w:rPr>
          <w:rFonts w:ascii="宋体" w:hAnsi="宋体" w:eastAsia="宋体" w:cs="宋体"/>
          <w:color w:val="000000" w:themeColor="text1"/>
          <w:szCs w:val="21"/>
        </w:rPr>
      </w:pPr>
      <w:r>
        <w:rPr>
          <w:rStyle w:val="28"/>
          <w:rFonts w:hint="eastAsia" w:ascii="宋体" w:hAnsi="宋体" w:eastAsia="宋体" w:cs="宋体"/>
        </w:rPr>
        <w:footnoteRef/>
      </w:r>
      <w:r>
        <w:rPr>
          <w:rFonts w:hint="eastAsia" w:ascii="宋体" w:hAnsi="宋体" w:eastAsia="宋体" w:cs="宋体"/>
          <w:lang w:val="fr-FR"/>
        </w:rPr>
        <w:t xml:space="preserve"> </w:t>
      </w:r>
      <w:r>
        <w:rPr>
          <w:rFonts w:eastAsia="宋体"/>
          <w:color w:val="000000" w:themeColor="text1"/>
          <w:szCs w:val="21"/>
          <w:lang w:val="fr-FR"/>
        </w:rPr>
        <w:t xml:space="preserve">Cicero: </w:t>
      </w:r>
      <w:r>
        <w:rPr>
          <w:rFonts w:eastAsia="宋体"/>
          <w:i/>
          <w:iCs/>
          <w:color w:val="000000" w:themeColor="text1"/>
          <w:szCs w:val="21"/>
          <w:lang w:val="fr-FR"/>
        </w:rPr>
        <w:t>De Finibus Bonurum et Malorum</w:t>
      </w:r>
      <w:r>
        <w:rPr>
          <w:rFonts w:eastAsia="宋体"/>
          <w:color w:val="000000" w:themeColor="text1"/>
          <w:szCs w:val="21"/>
          <w:lang w:val="fr-FR"/>
        </w:rPr>
        <w:t xml:space="preserve">. </w:t>
      </w:r>
      <w:r>
        <w:rPr>
          <w:rFonts w:eastAsia="宋体"/>
          <w:i/>
          <w:iCs/>
          <w:color w:val="000000" w:themeColor="text1"/>
          <w:szCs w:val="21"/>
        </w:rPr>
        <w:t>Series: Loeb XVII</w:t>
      </w:r>
      <w:r>
        <w:rPr>
          <w:rFonts w:eastAsia="宋体"/>
          <w:color w:val="000000" w:themeColor="text1"/>
          <w:szCs w:val="21"/>
        </w:rPr>
        <w:t xml:space="preserve">, </w:t>
      </w:r>
      <w:r>
        <w:rPr>
          <w:rFonts w:hint="eastAsia" w:eastAsia="宋体"/>
          <w:color w:val="000000" w:themeColor="text1"/>
          <w:szCs w:val="21"/>
        </w:rPr>
        <w:t xml:space="preserve">H. </w:t>
      </w:r>
      <w:r>
        <w:rPr>
          <w:rFonts w:eastAsia="宋体"/>
          <w:color w:val="000000" w:themeColor="text1"/>
          <w:szCs w:val="21"/>
        </w:rPr>
        <w:t xml:space="preserve">Rackham, trans. </w:t>
      </w:r>
      <w:r>
        <w:rPr>
          <w:rFonts w:hint="eastAsia" w:eastAsia="宋体"/>
          <w:color w:val="000000" w:themeColor="text1"/>
          <w:szCs w:val="21"/>
        </w:rPr>
        <w:t>c</w:t>
      </w:r>
      <w:r>
        <w:rPr>
          <w:rFonts w:eastAsia="宋体"/>
          <w:color w:val="000000" w:themeColor="text1"/>
          <w:szCs w:val="21"/>
        </w:rPr>
        <w:t>o.London: William Heinemann &amp; New York: Macmillan, 1914, 236~239.</w:t>
      </w:r>
    </w:p>
  </w:footnote>
  <w:footnote w:id="54">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rPr>
        <w:t xml:space="preserve"> 引号内的意思为“我将‘</w:t>
      </w:r>
      <w:r>
        <w:rPr>
          <w:rFonts w:eastAsia="宋体"/>
          <w:szCs w:val="21"/>
          <w:lang w:val="el-GR"/>
        </w:rPr>
        <w:t>καθήκον</w:t>
      </w:r>
      <w:r>
        <w:rPr>
          <w:rFonts w:hint="eastAsia" w:ascii="宋体" w:hAnsi="宋体" w:eastAsia="宋体" w:cs="宋体"/>
        </w:rPr>
        <w:t>’这个希腊词理解为‘义务’”。这一希腊词表示的“义务”（</w:t>
      </w:r>
      <w:r>
        <w:rPr>
          <w:rFonts w:eastAsia="宋体"/>
        </w:rPr>
        <w:t>officium</w:t>
      </w:r>
      <w:r>
        <w:rPr>
          <w:rFonts w:hint="eastAsia" w:ascii="宋体" w:hAnsi="宋体" w:eastAsia="宋体" w:cs="宋体"/>
        </w:rPr>
        <w:t>）体现出的是一种自我保存的倾向。“</w:t>
      </w:r>
      <w:r>
        <w:rPr>
          <w:rFonts w:eastAsia="宋体"/>
          <w:szCs w:val="21"/>
          <w:lang w:val="el-GR"/>
        </w:rPr>
        <w:t>καθήκον</w:t>
      </w:r>
      <w:r>
        <w:rPr>
          <w:rFonts w:hint="eastAsia" w:eastAsia="宋体"/>
          <w:szCs w:val="21"/>
          <w:lang w:val="el-GR"/>
        </w:rPr>
        <w:t>”</w:t>
      </w:r>
      <w:r>
        <w:rPr>
          <w:rFonts w:hint="eastAsia" w:ascii="宋体" w:hAnsi="宋体" w:eastAsia="宋体" w:cs="宋体"/>
        </w:rPr>
        <w:t>在西塞罗那里翻译成</w:t>
      </w:r>
      <w:r>
        <w:rPr>
          <w:rFonts w:eastAsia="宋体"/>
        </w:rPr>
        <w:t>officium</w:t>
      </w:r>
      <w:r>
        <w:rPr>
          <w:rFonts w:hint="eastAsia" w:ascii="宋体" w:hAnsi="宋体" w:eastAsia="宋体" w:cs="宋体"/>
        </w:rPr>
        <w:t>，在塞内卡那里翻译成</w:t>
      </w:r>
      <w:r>
        <w:rPr>
          <w:rFonts w:eastAsia="宋体"/>
        </w:rPr>
        <w:t>convenentia</w:t>
      </w:r>
      <w:r>
        <w:rPr>
          <w:rFonts w:hint="eastAsia" w:ascii="宋体" w:hAnsi="宋体" w:eastAsia="宋体" w:cs="宋体"/>
        </w:rPr>
        <w:t>。对于西塞罗的</w:t>
      </w:r>
      <w:r>
        <w:rPr>
          <w:rFonts w:eastAsia="宋体"/>
        </w:rPr>
        <w:t>officium</w:t>
      </w:r>
      <w:r>
        <w:rPr>
          <w:rFonts w:hint="eastAsia" w:ascii="宋体" w:hAnsi="宋体" w:eastAsia="宋体" w:cs="宋体"/>
        </w:rPr>
        <w:t>一词，德勒兹在1980年12月9日的讲座中说，</w:t>
      </w:r>
      <w:r>
        <w:rPr>
          <w:rFonts w:eastAsia="宋体"/>
        </w:rPr>
        <w:t>officium</w:t>
      </w:r>
      <w:r>
        <w:rPr>
          <w:rFonts w:hint="eastAsia" w:ascii="宋体" w:hAnsi="宋体" w:eastAsia="宋体" w:cs="宋体"/>
        </w:rPr>
        <w:t>更多地指的是“职责上的义务”，其所关涉的是自然权利的领域。“为什么实存（</w:t>
      </w:r>
      <w:r>
        <w:rPr>
          <w:rFonts w:eastAsia="宋体"/>
        </w:rPr>
        <w:t>existence</w:t>
      </w:r>
      <w:r>
        <w:rPr>
          <w:rFonts w:hint="eastAsia" w:ascii="宋体" w:hAnsi="宋体" w:eastAsia="宋体" w:cs="宋体"/>
        </w:rPr>
        <w:t>）中的义务居于首位？因为义务恰恰就是我得以最好地实现自身本质的前提条件，也就是我在可能的最好社会中过上与本质相符合的生活的前提条件。”在相同意义上，斯宾诺莎论述了个体存在的努力（</w:t>
      </w:r>
      <w:r>
        <w:rPr>
          <w:rFonts w:eastAsia="宋体"/>
        </w:rPr>
        <w:t>conatus</w:t>
      </w:r>
      <w:r>
        <w:rPr>
          <w:rFonts w:hint="eastAsia" w:ascii="宋体" w:hAnsi="宋体" w:eastAsia="宋体" w:cs="宋体"/>
        </w:rPr>
        <w:t>）与其德性之间的关系。德勒兹对西塞</w:t>
      </w:r>
      <w:r>
        <w:rPr>
          <w:rFonts w:eastAsia="宋体"/>
        </w:rPr>
        <w:t>罗officium概念</w:t>
      </w:r>
      <w:r>
        <w:rPr>
          <w:rFonts w:hint="eastAsia" w:ascii="宋体" w:hAnsi="宋体" w:eastAsia="宋体" w:cs="宋体"/>
        </w:rPr>
        <w:t>的阐释，参见：吉尔·德勒兹.德勒兹课程讲义.安靖译.待出版.</w:t>
      </w:r>
    </w:p>
  </w:footnote>
  <w:footnote w:id="55">
    <w:p>
      <w:pPr>
        <w:pStyle w:val="15"/>
        <w:jc w:val="both"/>
        <w:rPr>
          <w:rFonts w:ascii="宋体" w:hAnsi="宋体" w:eastAsia="宋体" w:cs="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参见：斯宾诺莎：《斯宾诺莎文集·第4卷·伦理学》.贺麟译.北京：商务印书馆，2014，105.</w:t>
      </w:r>
    </w:p>
  </w:footnote>
  <w:footnote w:id="56">
    <w:p>
      <w:pPr>
        <w:pStyle w:val="15"/>
        <w:jc w:val="both"/>
        <w:rPr>
          <w:rFonts w:eastAsia="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H·M·哈文（</w:t>
      </w:r>
      <w:r>
        <w:rPr>
          <w:rFonts w:eastAsia="宋体"/>
        </w:rPr>
        <w:t>Heidi M. Havven</w:t>
      </w:r>
      <w:r>
        <w:rPr>
          <w:rFonts w:hint="eastAsia" w:ascii="宋体" w:hAnsi="宋体" w:eastAsia="宋体" w:cs="宋体"/>
        </w:rPr>
        <w:t>）认为，斯宾诺莎在这里发展出了一套无限系统的模型（</w:t>
      </w:r>
      <w:r>
        <w:rPr>
          <w:rFonts w:eastAsia="宋体"/>
        </w:rPr>
        <w:t>model</w:t>
      </w:r>
      <w:r>
        <w:rPr>
          <w:rFonts w:hint="eastAsia" w:ascii="宋体" w:hAnsi="宋体" w:eastAsia="宋体" w:cs="宋体"/>
        </w:rPr>
        <w:t>）。借助一个包含万物的开放系统（即指斯宾诺莎的“实体系统”）中的自我规定（</w:t>
      </w:r>
      <w:r>
        <w:rPr>
          <w:rFonts w:eastAsia="宋体"/>
        </w:rPr>
        <w:t>self-ordering</w:t>
      </w:r>
      <w:r>
        <w:rPr>
          <w:rFonts w:hint="eastAsia" w:ascii="宋体" w:hAnsi="宋体" w:eastAsia="宋体" w:cs="宋体"/>
        </w:rPr>
        <w:t>）和自我连接（</w:t>
      </w:r>
      <w:r>
        <w:rPr>
          <w:rFonts w:eastAsia="宋体"/>
        </w:rPr>
        <w:t>self-integrating</w:t>
      </w:r>
      <w:r>
        <w:rPr>
          <w:rFonts w:hint="eastAsia" w:ascii="宋体" w:hAnsi="宋体" w:eastAsia="宋体" w:cs="宋体"/>
        </w:rPr>
        <w:t>），这一模型或模式的目的在于，在一种动态平衡（</w:t>
      </w:r>
      <w:r>
        <w:rPr>
          <w:rFonts w:eastAsia="宋体"/>
        </w:rPr>
        <w:t>dynamic equilibrium</w:t>
      </w:r>
      <w:r>
        <w:rPr>
          <w:rFonts w:hint="eastAsia" w:ascii="宋体" w:hAnsi="宋体" w:eastAsia="宋体" w:cs="宋体"/>
        </w:rPr>
        <w:t>）或一种稳定状态（</w:t>
      </w:r>
      <w:r>
        <w:rPr>
          <w:rFonts w:hint="eastAsia" w:eastAsia="宋体"/>
        </w:rPr>
        <w:t>steady state</w:t>
      </w:r>
      <w:r>
        <w:rPr>
          <w:rFonts w:hint="eastAsia" w:ascii="宋体" w:hAnsi="宋体" w:eastAsia="宋体" w:cs="宋体"/>
        </w:rPr>
        <w:t>）中使事物的自我生产（</w:t>
      </w:r>
      <w:r>
        <w:rPr>
          <w:rFonts w:eastAsia="宋体"/>
        </w:rPr>
        <w:t>self-generation</w:t>
      </w:r>
      <w:r>
        <w:rPr>
          <w:rFonts w:hint="eastAsia" w:ascii="宋体" w:hAnsi="宋体" w:eastAsia="宋体" w:cs="宋体"/>
        </w:rPr>
        <w:t>）和自我保存（</w:t>
      </w:r>
      <w:r>
        <w:rPr>
          <w:rFonts w:hint="eastAsia" w:eastAsia="宋体"/>
        </w:rPr>
        <w:t>self-perpetuation</w:t>
      </w:r>
      <w:r>
        <w:rPr>
          <w:rFonts w:hint="eastAsia" w:ascii="宋体" w:hAnsi="宋体" w:eastAsia="宋体" w:cs="宋体"/>
        </w:rPr>
        <w:t>）得到完善。而这一模型要达成的首要目标就是将个体事物连续不断的内在努力（</w:t>
      </w:r>
      <w:r>
        <w:rPr>
          <w:rFonts w:hint="eastAsia" w:eastAsia="宋体"/>
        </w:rPr>
        <w:t>internal</w:t>
      </w:r>
      <w:r>
        <w:rPr>
          <w:rFonts w:hint="eastAsia" w:eastAsia="宋体"/>
          <w:i/>
          <w:iCs/>
        </w:rPr>
        <w:t xml:space="preserve"> conatus</w:t>
      </w:r>
      <w:r>
        <w:rPr>
          <w:rFonts w:hint="eastAsia" w:ascii="宋体" w:hAnsi="宋体" w:eastAsia="宋体" w:cs="宋体"/>
        </w:rPr>
        <w:t>）转变为“无限”或曰“内在完整性（</w:t>
      </w:r>
      <w:r>
        <w:rPr>
          <w:rFonts w:hint="eastAsia" w:eastAsia="宋体"/>
        </w:rPr>
        <w:t>internal integrity</w:t>
      </w:r>
      <w:r>
        <w:rPr>
          <w:rFonts w:hint="eastAsia" w:ascii="宋体" w:hAnsi="宋体" w:eastAsia="宋体" w:cs="宋体"/>
        </w:rPr>
        <w:t>）”，从而达到与无限的自然的一致。参见：</w:t>
      </w:r>
      <w:r>
        <w:rPr>
          <w:rFonts w:hint="eastAsia" w:eastAsia="宋体"/>
        </w:rPr>
        <w:t>Heidi M. Ravven. Ratio and Activity: Spinoza’s Biologising of the Mind in an Aristotelian Key. In: Beth Lord, eds.</w:t>
      </w:r>
      <w:r>
        <w:rPr>
          <w:rFonts w:hint="eastAsia" w:eastAsia="宋体"/>
          <w:i/>
          <w:iCs/>
        </w:rPr>
        <w:t xml:space="preserve"> Spinoza’s Philosophy of Ratio</w:t>
      </w:r>
      <w:r>
        <w:rPr>
          <w:rFonts w:hint="eastAsia" w:eastAsia="宋体"/>
        </w:rPr>
        <w:t>. Edinburgh: Edinburgh University Press, 2018, 44.</w:t>
      </w:r>
      <w:r>
        <w:rPr>
          <w:rFonts w:hint="eastAsia" w:ascii="宋体" w:hAnsi="宋体" w:eastAsia="宋体" w:cs="宋体"/>
        </w:rPr>
        <w:t>关于对斯宾诺莎的“</w:t>
      </w:r>
      <w:r>
        <w:rPr>
          <w:rFonts w:hint="eastAsia" w:eastAsia="宋体"/>
        </w:rPr>
        <w:t>conatus</w:t>
      </w:r>
      <w:r>
        <w:rPr>
          <w:rFonts w:hint="eastAsia" w:ascii="宋体" w:hAnsi="宋体" w:eastAsia="宋体" w:cs="宋体"/>
        </w:rPr>
        <w:t>”概念的其他研究，参见：</w:t>
      </w:r>
      <w:r>
        <w:rPr>
          <w:rFonts w:hint="eastAsia" w:eastAsia="宋体"/>
          <w:i/>
          <w:iCs/>
        </w:rPr>
        <w:t>Nature and Necessity in Spinoza’s Philosophy</w:t>
      </w:r>
      <w:r>
        <w:rPr>
          <w:rFonts w:hint="eastAsia" w:eastAsia="宋体"/>
        </w:rPr>
        <w:t>. Don Garrett eds. Oxford: Oxford University Press, 2018, Section IV Theology and Necessarily Striving Nature.</w:t>
      </w:r>
    </w:p>
  </w:footnote>
  <w:footnote w:id="57">
    <w:p>
      <w:pPr>
        <w:pStyle w:val="15"/>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“理智”在斯宾诺莎那里是</w:t>
      </w:r>
      <w:r>
        <w:rPr>
          <w:rFonts w:eastAsia="宋体"/>
        </w:rPr>
        <w:t>intellectus</w:t>
      </w:r>
      <w:r>
        <w:rPr>
          <w:rFonts w:hint="eastAsia" w:ascii="宋体" w:hAnsi="宋体" w:eastAsia="宋体" w:cs="宋体"/>
        </w:rPr>
        <w:t>，有理性、理智之义。贺麟将其译为“知性”，但未免会有与康德哲学中的“知性”产生概念上混淆的可能。为了保证理解的准确，本文采取“理智”这一译法。</w:t>
      </w:r>
    </w:p>
  </w:footnote>
  <w:footnote w:id="58">
    <w:p>
      <w:pPr>
        <w:pStyle w:val="15"/>
      </w:pPr>
      <w:r>
        <w:rPr>
          <w:rStyle w:val="28"/>
        </w:rPr>
        <w:footnoteRef/>
      </w:r>
      <w:r>
        <w:rPr>
          <w:rFonts w:hint="eastAsia" w:ascii="宋体" w:hAnsi="宋体" w:eastAsia="宋体" w:cs="宋体"/>
          <w:vertAlign w:val="superscript"/>
        </w:rPr>
        <w:t xml:space="preserve"> </w:t>
      </w:r>
      <w:r>
        <w:rPr>
          <w:rFonts w:hint="eastAsia" w:eastAsia="宋体"/>
        </w:rPr>
        <w:t>参见：斯宾诺莎：《知性改</w:t>
      </w:r>
      <w:r>
        <w:rPr>
          <w:rFonts w:hint="eastAsia" w:ascii="宋体" w:hAnsi="宋体" w:eastAsia="宋体" w:cs="宋体"/>
        </w:rPr>
        <w:t>进论》.贺麟译.北京：商务印书馆，1960，31.</w:t>
      </w:r>
    </w:p>
  </w:footnote>
  <w:footnote w:id="59">
    <w:p>
      <w:pPr>
        <w:pStyle w:val="15"/>
        <w:rPr>
          <w:rFonts w:eastAsia="宋体"/>
        </w:rPr>
      </w:pPr>
      <w:r>
        <w:rPr>
          <w:rStyle w:val="28"/>
        </w:rPr>
        <w:footnoteRef/>
      </w:r>
      <w:r>
        <w:rPr>
          <w:rFonts w:hint="eastAsia" w:ascii="宋体" w:hAnsi="宋体" w:eastAsia="宋体" w:cs="宋体"/>
          <w:vertAlign w:val="superscript"/>
        </w:rPr>
        <w:t xml:space="preserve"> </w:t>
      </w:r>
      <w:r>
        <w:rPr>
          <w:rFonts w:hint="eastAsia" w:eastAsia="宋体"/>
        </w:rPr>
        <w:t>参见：斯宾诺莎：《知性改进</w:t>
      </w:r>
      <w:r>
        <w:rPr>
          <w:rFonts w:hint="eastAsia" w:ascii="宋体" w:hAnsi="宋体" w:eastAsia="宋体" w:cs="宋体"/>
        </w:rPr>
        <w:t>论》.贺麟译.北京：商务印书馆，1960，32.</w:t>
      </w:r>
    </w:p>
  </w:footnote>
  <w:footnote w:id="60">
    <w:p>
      <w:pPr>
        <w:pStyle w:val="15"/>
        <w:rPr>
          <w:rFonts w:ascii="宋体" w:hAnsi="宋体" w:eastAsia="宋体" w:cs="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参见：</w:t>
      </w:r>
      <w:r>
        <w:rPr>
          <w:rFonts w:hint="eastAsia" w:ascii="宋体" w:hAnsi="宋体" w:eastAsia="宋体" w:cs="宋体"/>
          <w:color w:val="000000" w:themeColor="text1"/>
          <w:szCs w:val="21"/>
          <w:shd w:val="clear" w:color="auto" w:fill="FFFFFF"/>
        </w:rPr>
        <w:t>斯宾诺莎：《笛卡尔哲学原理》.王荫庭译.北京：商务印书馆，2019，</w:t>
      </w:r>
      <w:r>
        <w:rPr>
          <w:rFonts w:hint="eastAsia" w:ascii="宋体" w:hAnsi="宋体" w:eastAsia="宋体" w:cs="宋体"/>
        </w:rPr>
        <w:t>133~134.</w:t>
      </w:r>
    </w:p>
  </w:footnote>
  <w:footnote w:id="61">
    <w:p>
      <w:pPr>
        <w:pStyle w:val="15"/>
        <w:rPr>
          <w:rFonts w:ascii="宋体" w:hAnsi="宋体" w:eastAsia="宋体" w:cs="宋体"/>
        </w:rPr>
      </w:pPr>
      <w:r>
        <w:rPr>
          <w:rStyle w:val="28"/>
          <w:rFonts w:hint="eastAsia" w:ascii="宋体" w:hAnsi="宋体" w:eastAsia="宋体" w:cs="宋体"/>
        </w:rPr>
        <w:footnoteRef/>
      </w:r>
      <w:r>
        <w:rPr>
          <w:rStyle w:val="28"/>
          <w:rFonts w:hint="eastAsia" w:ascii="宋体" w:hAnsi="宋体" w:eastAsia="宋体" w:cs="宋体"/>
        </w:rPr>
        <w:t xml:space="preserve"> </w:t>
      </w:r>
      <w:r>
        <w:rPr>
          <w:rFonts w:hint="eastAsia" w:ascii="宋体" w:hAnsi="宋体" w:eastAsia="宋体" w:cs="宋体"/>
        </w:rPr>
        <w:t>当然，这两种对象所带来的知识是不同的，我们将在后面的部分对此进行论述。</w:t>
      </w:r>
    </w:p>
  </w:footnote>
  <w:footnote w:id="62">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参见：吉尔·德勒兹：《斯宾诺莎与表现问题》.龚重林译.北京：商务印书馆，2019，103.</w:t>
      </w:r>
    </w:p>
  </w:footnote>
  <w:footnote w:id="63">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参见：斯宾诺莎：《斯宾诺莎文集·第4卷·伦理学》.贺麟译.北京：商务印书馆，2014，107.</w:t>
      </w:r>
    </w:p>
  </w:footnote>
  <w:footnote w:id="64">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参见：斯宾诺莎：《斯宾诺莎文集·第4卷·伦理学》.贺麟译.北京：商务印书馆，2014，108.</w:t>
      </w:r>
    </w:p>
  </w:footnote>
  <w:footnote w:id="65">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有时前两种知识也被斯宾诺莎合并为“建立在意见之上的知识”，如本文第一部分对于知识的区分。参见：</w:t>
      </w:r>
      <w:r>
        <w:rPr>
          <w:rFonts w:hint="eastAsia" w:ascii="宋体" w:hAnsi="宋体" w:eastAsia="宋体" w:cs="宋体"/>
          <w:color w:val="000000" w:themeColor="text1"/>
          <w:szCs w:val="21"/>
          <w:shd w:val="clear" w:color="auto" w:fill="FFFFFF"/>
        </w:rPr>
        <w:t>斯宾诺莎：《知性改进论》.贺麟译.北京：商务印书馆，1960，26~27.</w:t>
      </w:r>
    </w:p>
  </w:footnote>
  <w:footnote w:id="66">
    <w:p>
      <w:pPr>
        <w:pStyle w:val="15"/>
        <w:jc w:val="both"/>
        <w:rPr>
          <w:rFonts w:ascii="宋体" w:hAnsi="宋体" w:eastAsia="宋体" w:cs="宋体"/>
        </w:rPr>
      </w:pPr>
      <w:r>
        <w:rPr>
          <w:rStyle w:val="28"/>
          <w:rFonts w:hint="eastAsia" w:ascii="宋体" w:hAnsi="宋体" w:eastAsia="宋体" w:cs="宋体"/>
        </w:rPr>
        <w:footnoteRef/>
      </w:r>
      <w:r>
        <w:rPr>
          <w:rFonts w:hint="eastAsia" w:ascii="宋体" w:hAnsi="宋体" w:eastAsia="宋体" w:cs="宋体"/>
          <w:vertAlign w:val="superscript"/>
        </w:rPr>
        <w:t xml:space="preserve"> </w:t>
      </w:r>
      <w:r>
        <w:rPr>
          <w:rFonts w:hint="eastAsia" w:ascii="宋体" w:hAnsi="宋体" w:eastAsia="宋体" w:cs="宋体"/>
        </w:rPr>
        <w:t>参见：斯宾诺莎：《神、人及其幸福简论》.洪汉鼎 孙祖培译.南京：译林出版社，2014，149.</w:t>
      </w:r>
    </w:p>
  </w:footnote>
  <w:footnote w:id="67">
    <w:p>
      <w:pPr>
        <w:pStyle w:val="15"/>
        <w:jc w:val="both"/>
        <w:rPr>
          <w:rFonts w:ascii="宋体" w:hAnsi="宋体" w:eastAsia="宋体" w:cs="宋体"/>
          <w:szCs w:val="21"/>
          <w:highlight w:val="yellow"/>
          <w:lang w:val="de-DE"/>
        </w:rPr>
      </w:pPr>
      <w:r>
        <w:rPr>
          <w:rStyle w:val="28"/>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szCs w:val="21"/>
          <w:lang w:val="de-DE"/>
        </w:rPr>
        <w:t>除了笛卡尔之外，只有阿奎那和亚里士多德在斯宾诺莎关于形而上学的重要文本中曾经直接出现过。在《简论》中，斯宾诺莎曾直接提及阿奎那，目的在于表明其上帝证明不同于阿奎那的上帝证明。</w:t>
      </w:r>
    </w:p>
  </w:footnote>
  <w:footnote w:id="68">
    <w:p>
      <w:pPr>
        <w:pStyle w:val="15"/>
        <w:rPr>
          <w:rFonts w:ascii="宋体" w:hAnsi="宋体" w:eastAsia="宋体" w:cs="宋体"/>
          <w:highlight w:val="yellow"/>
        </w:rPr>
      </w:pPr>
      <w:r>
        <w:rPr>
          <w:rStyle w:val="28"/>
          <w:rFonts w:hint="eastAsia" w:ascii="宋体" w:hAnsi="宋体" w:eastAsia="宋体" w:cs="宋体"/>
        </w:rPr>
        <w:footnoteRef/>
      </w:r>
      <w:r>
        <w:rPr>
          <w:rFonts w:hint="eastAsia" w:ascii="宋体" w:hAnsi="宋体" w:eastAsia="宋体" w:cs="宋体"/>
          <w:lang w:val="de-DE"/>
        </w:rPr>
        <w:t xml:space="preserve"> </w:t>
      </w:r>
      <w:r>
        <w:rPr>
          <w:rFonts w:hint="eastAsia" w:ascii="宋体" w:hAnsi="宋体" w:eastAsia="宋体" w:cs="宋体"/>
        </w:rPr>
        <w:t>参见</w:t>
      </w:r>
      <w:r>
        <w:rPr>
          <w:rFonts w:hint="eastAsia" w:ascii="宋体" w:hAnsi="宋体" w:eastAsia="宋体" w:cs="宋体"/>
          <w:lang w:val="de-DE"/>
        </w:rPr>
        <w:t>：</w:t>
      </w:r>
      <w:r>
        <w:rPr>
          <w:rFonts w:eastAsia="宋体"/>
          <w:lang w:val="de-DE"/>
        </w:rPr>
        <w:t>Summa Contra Gentiles, I, 34.</w:t>
      </w:r>
      <w:r>
        <w:rPr>
          <w:rFonts w:hint="eastAsia" w:ascii="宋体" w:hAnsi="宋体" w:eastAsia="宋体" w:cs="宋体"/>
          <w:lang w:val="de-DE"/>
        </w:rPr>
        <w:t xml:space="preserve"> </w:t>
      </w:r>
      <w:r>
        <w:rPr>
          <w:rFonts w:hint="eastAsia" w:ascii="宋体" w:hAnsi="宋体" w:eastAsia="宋体" w:cs="宋体"/>
        </w:rPr>
        <w:t>转引自</w:t>
      </w:r>
      <w:r>
        <w:rPr>
          <w:rFonts w:hint="eastAsia" w:ascii="宋体" w:hAnsi="宋体" w:eastAsia="宋体" w:cs="宋体"/>
          <w:lang w:val="de-DE"/>
        </w:rPr>
        <w:t>：</w:t>
      </w:r>
      <w:r>
        <w:rPr>
          <w:rFonts w:eastAsia="宋体"/>
          <w:lang w:val="de-DE"/>
        </w:rPr>
        <w:t xml:space="preserve">Bernard Montagnes. </w:t>
      </w:r>
      <w:r>
        <w:rPr>
          <w:rFonts w:eastAsia="宋体"/>
          <w:i/>
          <w:iCs/>
        </w:rPr>
        <w:t>The Doctrine of the Analogy of Being according to Thomas Aquinas</w:t>
      </w:r>
      <w:r>
        <w:rPr>
          <w:rFonts w:eastAsia="宋体"/>
        </w:rPr>
        <w:t>, E</w:t>
      </w:r>
      <w:r>
        <w:rPr>
          <w:rFonts w:hint="eastAsia" w:eastAsia="宋体"/>
        </w:rPr>
        <w:t>.M.</w:t>
      </w:r>
      <w:r>
        <w:rPr>
          <w:rFonts w:eastAsia="宋体"/>
        </w:rPr>
        <w:t>Macierowski</w:t>
      </w:r>
      <w:r>
        <w:rPr>
          <w:rFonts w:hint="eastAsia" w:eastAsia="宋体"/>
        </w:rPr>
        <w:t xml:space="preserve">, </w:t>
      </w:r>
      <w:r>
        <w:rPr>
          <w:rFonts w:eastAsia="宋体"/>
        </w:rPr>
        <w:t>trans. Marquette University Press, 2004</w:t>
      </w:r>
      <w:r>
        <w:rPr>
          <w:rFonts w:hint="eastAsia" w:eastAsia="宋体"/>
        </w:rPr>
        <w:t>.</w:t>
      </w:r>
      <w:r>
        <w:rPr>
          <w:rFonts w:eastAsia="宋体"/>
        </w:rPr>
        <w:t>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楷体" w:hAnsi="楷体" w:eastAsia="楷体" w:cs="楷体"/>
        <w:sz w:val="24"/>
        <w:szCs w:val="24"/>
      </w:rPr>
      <w:t>论斯宾诺莎哲学中的三元结构——一种力量的形而上学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楷体" w:hAnsi="楷体" w:eastAsia="楷体" w:cs="楷体"/>
        <w:sz w:val="24"/>
        <w:szCs w:val="24"/>
      </w:rPr>
      <w:t>论斯宾诺莎哲学中的三元结构——一种力量的形而上学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楷体" w:hAnsi="楷体" w:eastAsia="楷体" w:cs="楷体"/>
        <w:sz w:val="24"/>
        <w:szCs w:val="24"/>
      </w:rPr>
    </w:pPr>
    <w:r>
      <w:rPr>
        <w:rFonts w:hint="eastAsia" w:ascii="楷体" w:hAnsi="楷体" w:eastAsia="楷体" w:cs="楷体"/>
        <w:sz w:val="24"/>
        <w:szCs w:val="24"/>
      </w:rPr>
      <w:t>论斯宾诺莎哲学中的三元结构——一种力量的形而上学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楷体" w:hAnsi="楷体" w:eastAsia="楷体" w:cs="楷体"/>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楷体" w:hAnsi="楷体" w:eastAsia="楷体" w:cs="楷体"/>
        <w:sz w:val="24"/>
        <w:szCs w:val="24"/>
      </w:rPr>
    </w:pPr>
    <w:r>
      <w:rPr>
        <w:rFonts w:hint="eastAsia" w:ascii="楷体" w:hAnsi="楷体" w:eastAsia="楷体" w:cs="楷体"/>
        <w:sz w:val="24"/>
        <w:szCs w:val="24"/>
      </w:rPr>
      <w:t>论斯宾诺莎哲学中的三元结构——一种力量的形而上学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76BA1"/>
    <w:multiLevelType w:val="singleLevel"/>
    <w:tmpl w:val="81176BA1"/>
    <w:lvl w:ilvl="0" w:tentative="0">
      <w:start w:val="1"/>
      <w:numFmt w:val="chineseCounting"/>
      <w:suff w:val="nothing"/>
      <w:lvlText w:val="（%1）"/>
      <w:lvlJc w:val="left"/>
      <w:pPr>
        <w:ind w:left="0" w:firstLine="420"/>
      </w:pPr>
      <w:rPr>
        <w:rFonts w:hint="eastAsia"/>
      </w:rPr>
    </w:lvl>
  </w:abstractNum>
  <w:abstractNum w:abstractNumId="1">
    <w:nsid w:val="AF110D99"/>
    <w:multiLevelType w:val="singleLevel"/>
    <w:tmpl w:val="AF110D99"/>
    <w:lvl w:ilvl="0" w:tentative="0">
      <w:start w:val="1"/>
      <w:numFmt w:val="chineseCounting"/>
      <w:suff w:val="nothing"/>
      <w:lvlText w:val="（%1）"/>
      <w:lvlJc w:val="left"/>
      <w:pPr>
        <w:ind w:left="0" w:firstLine="420"/>
      </w:pPr>
      <w:rPr>
        <w:rFonts w:hint="eastAsia"/>
      </w:rPr>
    </w:lvl>
  </w:abstractNum>
  <w:abstractNum w:abstractNumId="2">
    <w:nsid w:val="F52B64FF"/>
    <w:multiLevelType w:val="singleLevel"/>
    <w:tmpl w:val="F52B64FF"/>
    <w:lvl w:ilvl="0" w:tentative="0">
      <w:start w:val="1"/>
      <w:numFmt w:val="chineseCounting"/>
      <w:suff w:val="nothing"/>
      <w:lvlText w:val="（%1）"/>
      <w:lvlJc w:val="left"/>
      <w:pPr>
        <w:ind w:left="0" w:firstLine="420"/>
      </w:pPr>
      <w:rPr>
        <w:rFonts w:hint="eastAsia"/>
      </w:rPr>
    </w:lvl>
  </w:abstractNum>
  <w:abstractNum w:abstractNumId="3">
    <w:nsid w:val="FEF2A17B"/>
    <w:multiLevelType w:val="singleLevel"/>
    <w:tmpl w:val="FEF2A17B"/>
    <w:lvl w:ilvl="0" w:tentative="0">
      <w:start w:val="1"/>
      <w:numFmt w:val="chineseCounting"/>
      <w:suff w:val="nothing"/>
      <w:lvlText w:val="（%1）"/>
      <w:lvlJc w:val="left"/>
      <w:pPr>
        <w:ind w:left="0" w:firstLine="420"/>
      </w:pPr>
      <w:rPr>
        <w:rFonts w:hint="eastAsia"/>
      </w:rPr>
    </w:lvl>
  </w:abstractNum>
  <w:abstractNum w:abstractNumId="4">
    <w:nsid w:val="02C3242F"/>
    <w:multiLevelType w:val="multilevel"/>
    <w:tmpl w:val="02C324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8B5B48"/>
    <w:multiLevelType w:val="multilevel"/>
    <w:tmpl w:val="228B5B4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9B2AD5"/>
    <w:multiLevelType w:val="multilevel"/>
    <w:tmpl w:val="329B2AD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DD61D94"/>
    <w:multiLevelType w:val="multilevel"/>
    <w:tmpl w:val="5DD61D94"/>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9D6503"/>
    <w:rsid w:val="00005750"/>
    <w:rsid w:val="00096005"/>
    <w:rsid w:val="000E39FC"/>
    <w:rsid w:val="0011744D"/>
    <w:rsid w:val="0012582A"/>
    <w:rsid w:val="001274A5"/>
    <w:rsid w:val="001447A7"/>
    <w:rsid w:val="001542D0"/>
    <w:rsid w:val="0016090F"/>
    <w:rsid w:val="001B6BE3"/>
    <w:rsid w:val="001C4BCF"/>
    <w:rsid w:val="001C7E89"/>
    <w:rsid w:val="002261FB"/>
    <w:rsid w:val="00242DD6"/>
    <w:rsid w:val="00245E99"/>
    <w:rsid w:val="00250471"/>
    <w:rsid w:val="00250964"/>
    <w:rsid w:val="0027298C"/>
    <w:rsid w:val="002903C6"/>
    <w:rsid w:val="00293BB0"/>
    <w:rsid w:val="002C7088"/>
    <w:rsid w:val="002E2E7C"/>
    <w:rsid w:val="002F0D27"/>
    <w:rsid w:val="002F314D"/>
    <w:rsid w:val="003155F4"/>
    <w:rsid w:val="003615DA"/>
    <w:rsid w:val="0036702E"/>
    <w:rsid w:val="003764D8"/>
    <w:rsid w:val="00385F4B"/>
    <w:rsid w:val="003D2953"/>
    <w:rsid w:val="003E6D60"/>
    <w:rsid w:val="004216D3"/>
    <w:rsid w:val="00465F5F"/>
    <w:rsid w:val="00482C56"/>
    <w:rsid w:val="00486333"/>
    <w:rsid w:val="004C18CA"/>
    <w:rsid w:val="004D316C"/>
    <w:rsid w:val="004E34C7"/>
    <w:rsid w:val="0058123B"/>
    <w:rsid w:val="00594AF1"/>
    <w:rsid w:val="005D0785"/>
    <w:rsid w:val="005D6F62"/>
    <w:rsid w:val="005F38F1"/>
    <w:rsid w:val="00635DDB"/>
    <w:rsid w:val="0064295E"/>
    <w:rsid w:val="00685D03"/>
    <w:rsid w:val="00692739"/>
    <w:rsid w:val="006D2403"/>
    <w:rsid w:val="006E5BA7"/>
    <w:rsid w:val="006F246C"/>
    <w:rsid w:val="00760980"/>
    <w:rsid w:val="00765524"/>
    <w:rsid w:val="00766B66"/>
    <w:rsid w:val="00777A0F"/>
    <w:rsid w:val="007A209E"/>
    <w:rsid w:val="007A69D7"/>
    <w:rsid w:val="007C6E14"/>
    <w:rsid w:val="007D2CA4"/>
    <w:rsid w:val="007F0C86"/>
    <w:rsid w:val="00866079"/>
    <w:rsid w:val="00866F3E"/>
    <w:rsid w:val="00870537"/>
    <w:rsid w:val="00896DE7"/>
    <w:rsid w:val="008B3B31"/>
    <w:rsid w:val="008D7504"/>
    <w:rsid w:val="00907194"/>
    <w:rsid w:val="009105C5"/>
    <w:rsid w:val="009202E4"/>
    <w:rsid w:val="009204AE"/>
    <w:rsid w:val="00922866"/>
    <w:rsid w:val="00933CD3"/>
    <w:rsid w:val="00974CDF"/>
    <w:rsid w:val="009A337F"/>
    <w:rsid w:val="009D6503"/>
    <w:rsid w:val="009F2193"/>
    <w:rsid w:val="009F5918"/>
    <w:rsid w:val="00A02532"/>
    <w:rsid w:val="00A432BC"/>
    <w:rsid w:val="00A4458C"/>
    <w:rsid w:val="00A752B5"/>
    <w:rsid w:val="00A84A66"/>
    <w:rsid w:val="00AA0C57"/>
    <w:rsid w:val="00AB779C"/>
    <w:rsid w:val="00AD5124"/>
    <w:rsid w:val="00AF22E8"/>
    <w:rsid w:val="00B25B91"/>
    <w:rsid w:val="00B36D86"/>
    <w:rsid w:val="00B439E7"/>
    <w:rsid w:val="00B45A1A"/>
    <w:rsid w:val="00B55488"/>
    <w:rsid w:val="00B605EB"/>
    <w:rsid w:val="00BA2501"/>
    <w:rsid w:val="00C1778A"/>
    <w:rsid w:val="00C23414"/>
    <w:rsid w:val="00C25B0F"/>
    <w:rsid w:val="00C27795"/>
    <w:rsid w:val="00C32C0F"/>
    <w:rsid w:val="00C749F5"/>
    <w:rsid w:val="00CC3290"/>
    <w:rsid w:val="00CE3D66"/>
    <w:rsid w:val="00CE4E1F"/>
    <w:rsid w:val="00CF158E"/>
    <w:rsid w:val="00D16F9E"/>
    <w:rsid w:val="00D2133C"/>
    <w:rsid w:val="00D21937"/>
    <w:rsid w:val="00D36F8F"/>
    <w:rsid w:val="00D611B1"/>
    <w:rsid w:val="00D663D8"/>
    <w:rsid w:val="00D84066"/>
    <w:rsid w:val="00D96FB7"/>
    <w:rsid w:val="00DE7E83"/>
    <w:rsid w:val="00E060EA"/>
    <w:rsid w:val="00E101C0"/>
    <w:rsid w:val="00E36FE6"/>
    <w:rsid w:val="00E46E20"/>
    <w:rsid w:val="00E82390"/>
    <w:rsid w:val="00EA557F"/>
    <w:rsid w:val="00EB23EE"/>
    <w:rsid w:val="00EC6DDA"/>
    <w:rsid w:val="00EC751E"/>
    <w:rsid w:val="00EE0BF9"/>
    <w:rsid w:val="00F03097"/>
    <w:rsid w:val="00F41F5F"/>
    <w:rsid w:val="00F4249F"/>
    <w:rsid w:val="00F650A8"/>
    <w:rsid w:val="00F97C43"/>
    <w:rsid w:val="00FF3A58"/>
    <w:rsid w:val="00FF7EDC"/>
    <w:rsid w:val="0A3F57EA"/>
    <w:rsid w:val="0ADF1AC1"/>
    <w:rsid w:val="0D2E330B"/>
    <w:rsid w:val="0E344B57"/>
    <w:rsid w:val="0F8967B1"/>
    <w:rsid w:val="103552A4"/>
    <w:rsid w:val="15602474"/>
    <w:rsid w:val="159C1F65"/>
    <w:rsid w:val="17F2151F"/>
    <w:rsid w:val="180611D2"/>
    <w:rsid w:val="181559D3"/>
    <w:rsid w:val="1B182EC0"/>
    <w:rsid w:val="1BD61A71"/>
    <w:rsid w:val="1CC173E1"/>
    <w:rsid w:val="1D7D694B"/>
    <w:rsid w:val="1E680BD7"/>
    <w:rsid w:val="200279EA"/>
    <w:rsid w:val="25BC665A"/>
    <w:rsid w:val="26690E8D"/>
    <w:rsid w:val="27370298"/>
    <w:rsid w:val="309921FA"/>
    <w:rsid w:val="314E41B3"/>
    <w:rsid w:val="39582928"/>
    <w:rsid w:val="3B8E47A0"/>
    <w:rsid w:val="3DC46AF4"/>
    <w:rsid w:val="3F7C59BB"/>
    <w:rsid w:val="431D44D7"/>
    <w:rsid w:val="47916B96"/>
    <w:rsid w:val="47B75310"/>
    <w:rsid w:val="492B52F9"/>
    <w:rsid w:val="4B6961FF"/>
    <w:rsid w:val="4C82133E"/>
    <w:rsid w:val="4CCC45D0"/>
    <w:rsid w:val="4D924375"/>
    <w:rsid w:val="4DE7122D"/>
    <w:rsid w:val="4EE578F9"/>
    <w:rsid w:val="50623D25"/>
    <w:rsid w:val="51462478"/>
    <w:rsid w:val="54F46683"/>
    <w:rsid w:val="55D834CD"/>
    <w:rsid w:val="57357AD2"/>
    <w:rsid w:val="57894F41"/>
    <w:rsid w:val="57D50521"/>
    <w:rsid w:val="582034FF"/>
    <w:rsid w:val="5BE85FF0"/>
    <w:rsid w:val="6059256D"/>
    <w:rsid w:val="61DC4A27"/>
    <w:rsid w:val="64EE3058"/>
    <w:rsid w:val="67FB3C47"/>
    <w:rsid w:val="69B153B9"/>
    <w:rsid w:val="6A4C75B8"/>
    <w:rsid w:val="6B676686"/>
    <w:rsid w:val="6F02323F"/>
    <w:rsid w:val="6F54620A"/>
    <w:rsid w:val="6FDA482A"/>
    <w:rsid w:val="72414201"/>
    <w:rsid w:val="738866D0"/>
    <w:rsid w:val="73A10000"/>
    <w:rsid w:val="73DC0DAF"/>
    <w:rsid w:val="74737B97"/>
    <w:rsid w:val="76786E22"/>
    <w:rsid w:val="76E27BDC"/>
    <w:rsid w:val="77CA1B0E"/>
    <w:rsid w:val="786954AE"/>
    <w:rsid w:val="79B84941"/>
    <w:rsid w:val="7C915B7A"/>
    <w:rsid w:val="7D164BC7"/>
    <w:rsid w:val="7DB90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link w:val="33"/>
    <w:qFormat/>
    <w:uiPriority w:val="9"/>
    <w:pPr>
      <w:keepNext/>
      <w:keepLines/>
      <w:spacing w:before="340" w:after="330"/>
      <w:jc w:val="center"/>
      <w:outlineLvl w:val="0"/>
    </w:pPr>
    <w:rPr>
      <w:rFonts w:eastAsia="Hei"/>
      <w:b/>
      <w:bCs/>
      <w:color w:val="000000" w:themeColor="text1"/>
      <w:kern w:val="44"/>
      <w:sz w:val="30"/>
      <w:szCs w:val="44"/>
    </w:rPr>
  </w:style>
  <w:style w:type="paragraph" w:styleId="3">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unhideWhenUsed/>
    <w:qFormat/>
    <w:uiPriority w:val="39"/>
    <w:pPr>
      <w:ind w:left="1440"/>
    </w:pPr>
    <w:rPr>
      <w:rFonts w:asciiTheme="minorHAnsi" w:hAnsiTheme="minorHAnsi" w:cstheme="minorHAnsi"/>
      <w:sz w:val="20"/>
    </w:rPr>
  </w:style>
  <w:style w:type="paragraph" w:styleId="6">
    <w:name w:val="annotation text"/>
    <w:basedOn w:val="1"/>
    <w:link w:val="35"/>
    <w:unhideWhenUsed/>
    <w:qFormat/>
    <w:uiPriority w:val="99"/>
  </w:style>
  <w:style w:type="paragraph" w:styleId="7">
    <w:name w:val="toc 5"/>
    <w:basedOn w:val="1"/>
    <w:next w:val="1"/>
    <w:semiHidden/>
    <w:unhideWhenUsed/>
    <w:qFormat/>
    <w:uiPriority w:val="39"/>
    <w:pPr>
      <w:ind w:left="960"/>
    </w:pPr>
    <w:rPr>
      <w:rFonts w:asciiTheme="minorHAnsi" w:hAnsiTheme="minorHAnsi" w:cstheme="minorHAnsi"/>
      <w:sz w:val="20"/>
    </w:rPr>
  </w:style>
  <w:style w:type="paragraph" w:styleId="8">
    <w:name w:val="toc 3"/>
    <w:basedOn w:val="1"/>
    <w:next w:val="1"/>
    <w:semiHidden/>
    <w:unhideWhenUsed/>
    <w:qFormat/>
    <w:uiPriority w:val="39"/>
    <w:pPr>
      <w:ind w:left="480"/>
    </w:pPr>
    <w:rPr>
      <w:rFonts w:asciiTheme="minorHAnsi" w:hAnsiTheme="minorHAnsi" w:cstheme="minorHAnsi"/>
      <w:sz w:val="20"/>
    </w:rPr>
  </w:style>
  <w:style w:type="paragraph" w:styleId="9">
    <w:name w:val="toc 8"/>
    <w:basedOn w:val="1"/>
    <w:next w:val="1"/>
    <w:semiHidden/>
    <w:unhideWhenUsed/>
    <w:qFormat/>
    <w:uiPriority w:val="39"/>
    <w:pPr>
      <w:ind w:left="1680"/>
    </w:pPr>
    <w:rPr>
      <w:rFonts w:asciiTheme="minorHAnsi" w:hAnsiTheme="minorHAnsi" w:cstheme="minorHAnsi"/>
      <w:sz w:val="20"/>
    </w:rPr>
  </w:style>
  <w:style w:type="paragraph" w:styleId="10">
    <w:name w:val="Balloon Text"/>
    <w:basedOn w:val="1"/>
    <w:link w:val="37"/>
    <w:semiHidden/>
    <w:unhideWhenUsed/>
    <w:qFormat/>
    <w:uiPriority w:val="99"/>
    <w:rPr>
      <w:rFonts w:ascii="宋体" w:eastAsia="宋体"/>
      <w:sz w:val="18"/>
      <w:szCs w:val="18"/>
    </w:rPr>
  </w:style>
  <w:style w:type="paragraph" w:styleId="11">
    <w:name w:val="footer"/>
    <w:basedOn w:val="1"/>
    <w:link w:val="32"/>
    <w:unhideWhenUsed/>
    <w:qFormat/>
    <w:uiPriority w:val="99"/>
    <w:pPr>
      <w:tabs>
        <w:tab w:val="center" w:pos="4680"/>
        <w:tab w:val="right" w:pos="9360"/>
      </w:tabs>
      <w:snapToGrid w:val="0"/>
    </w:pPr>
    <w:rPr>
      <w:sz w:val="18"/>
      <w:szCs w:val="18"/>
    </w:rPr>
  </w:style>
  <w:style w:type="paragraph" w:styleId="12">
    <w:name w:val="header"/>
    <w:basedOn w:val="1"/>
    <w:link w:val="31"/>
    <w:unhideWhenUsed/>
    <w:qFormat/>
    <w:uiPriority w:val="99"/>
    <w:pPr>
      <w:pBdr>
        <w:bottom w:val="single" w:color="auto" w:sz="6" w:space="1"/>
      </w:pBdr>
      <w:tabs>
        <w:tab w:val="center" w:pos="4680"/>
        <w:tab w:val="right" w:pos="9360"/>
      </w:tabs>
      <w:snapToGrid w:val="0"/>
      <w:jc w:val="center"/>
    </w:pPr>
    <w:rPr>
      <w:sz w:val="18"/>
      <w:szCs w:val="18"/>
    </w:rPr>
  </w:style>
  <w:style w:type="paragraph" w:styleId="13">
    <w:name w:val="toc 1"/>
    <w:basedOn w:val="1"/>
    <w:next w:val="1"/>
    <w:unhideWhenUsed/>
    <w:qFormat/>
    <w:uiPriority w:val="39"/>
    <w:pPr>
      <w:tabs>
        <w:tab w:val="right" w:leader="dot" w:pos="8284"/>
      </w:tabs>
      <w:spacing w:before="120" w:line="500" w:lineRule="exact"/>
      <w:jc w:val="center"/>
    </w:pPr>
    <w:rPr>
      <w:rFonts w:ascii="Hei" w:hAnsi="Hei" w:eastAsia="宋体" w:cstheme="minorHAnsi"/>
      <w:b/>
      <w:bCs/>
      <w:sz w:val="32"/>
      <w:szCs w:val="36"/>
      <w:lang w:val="de-DE"/>
    </w:rPr>
  </w:style>
  <w:style w:type="paragraph" w:styleId="14">
    <w:name w:val="toc 4"/>
    <w:basedOn w:val="1"/>
    <w:next w:val="1"/>
    <w:semiHidden/>
    <w:unhideWhenUsed/>
    <w:qFormat/>
    <w:uiPriority w:val="39"/>
    <w:pPr>
      <w:ind w:left="720"/>
    </w:pPr>
    <w:rPr>
      <w:rFonts w:asciiTheme="minorHAnsi" w:hAnsiTheme="minorHAnsi" w:cstheme="minorHAnsi"/>
      <w:sz w:val="20"/>
    </w:rPr>
  </w:style>
  <w:style w:type="paragraph" w:styleId="15">
    <w:name w:val="footnote text"/>
    <w:basedOn w:val="1"/>
    <w:link w:val="29"/>
    <w:unhideWhenUsed/>
    <w:qFormat/>
    <w:uiPriority w:val="99"/>
    <w:pPr>
      <w:snapToGrid w:val="0"/>
    </w:pPr>
    <w:rPr>
      <w:sz w:val="18"/>
      <w:szCs w:val="18"/>
    </w:rPr>
  </w:style>
  <w:style w:type="paragraph" w:styleId="16">
    <w:name w:val="toc 6"/>
    <w:basedOn w:val="1"/>
    <w:next w:val="1"/>
    <w:semiHidden/>
    <w:unhideWhenUsed/>
    <w:qFormat/>
    <w:uiPriority w:val="39"/>
    <w:pPr>
      <w:ind w:left="1200"/>
    </w:pPr>
    <w:rPr>
      <w:rFonts w:asciiTheme="minorHAnsi" w:hAnsiTheme="minorHAnsi" w:cstheme="minorHAnsi"/>
      <w:sz w:val="20"/>
    </w:rPr>
  </w:style>
  <w:style w:type="paragraph" w:styleId="17">
    <w:name w:val="toc 2"/>
    <w:basedOn w:val="1"/>
    <w:next w:val="1"/>
    <w:unhideWhenUsed/>
    <w:qFormat/>
    <w:uiPriority w:val="39"/>
    <w:pPr>
      <w:tabs>
        <w:tab w:val="left" w:pos="750"/>
        <w:tab w:val="right" w:leader="dot" w:pos="8284"/>
      </w:tabs>
      <w:spacing w:before="120"/>
      <w:ind w:left="240"/>
    </w:pPr>
    <w:rPr>
      <w:rFonts w:ascii="宋体" w:hAnsi="宋体" w:eastAsia="宋体" w:cstheme="minorHAnsi"/>
      <w:sz w:val="22"/>
      <w:szCs w:val="26"/>
      <w:lang w:val="de-DE"/>
    </w:rPr>
  </w:style>
  <w:style w:type="paragraph" w:styleId="18">
    <w:name w:val="toc 9"/>
    <w:basedOn w:val="1"/>
    <w:next w:val="1"/>
    <w:semiHidden/>
    <w:unhideWhenUsed/>
    <w:qFormat/>
    <w:uiPriority w:val="39"/>
    <w:pPr>
      <w:ind w:left="1920"/>
    </w:pPr>
    <w:rPr>
      <w:rFonts w:asciiTheme="minorHAnsi" w:hAnsiTheme="minorHAnsi" w:cstheme="minorHAnsi"/>
      <w:sz w:val="20"/>
    </w:rPr>
  </w:style>
  <w:style w:type="paragraph" w:styleId="19">
    <w:name w:val="Normal (Web)"/>
    <w:basedOn w:val="1"/>
    <w:semiHidden/>
    <w:unhideWhenUsed/>
    <w:qFormat/>
    <w:uiPriority w:val="99"/>
    <w:pPr>
      <w:spacing w:before="100" w:beforeAutospacing="1" w:after="100" w:afterAutospacing="1"/>
    </w:pPr>
  </w:style>
  <w:style w:type="paragraph" w:styleId="20">
    <w:name w:val="Title"/>
    <w:basedOn w:val="1"/>
    <w:next w:val="1"/>
    <w:link w:val="4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6"/>
    <w:next w:val="6"/>
    <w:link w:val="36"/>
    <w:semiHidden/>
    <w:unhideWhenUsed/>
    <w:qFormat/>
    <w:uiPriority w:val="99"/>
    <w:rPr>
      <w:b/>
      <w:bCs/>
    </w:rPr>
  </w:style>
  <w:style w:type="character" w:styleId="24">
    <w:name w:val="page number"/>
    <w:basedOn w:val="23"/>
    <w:semiHidden/>
    <w:unhideWhenUsed/>
    <w:qFormat/>
    <w:uiPriority w:val="99"/>
  </w:style>
  <w:style w:type="character" w:styleId="25">
    <w:name w:val="FollowedHyperlink"/>
    <w:basedOn w:val="23"/>
    <w:semiHidden/>
    <w:unhideWhenUsed/>
    <w:qFormat/>
    <w:uiPriority w:val="99"/>
    <w:rPr>
      <w:color w:val="954F72" w:themeColor="followedHyperlink"/>
      <w:u w:val="single"/>
    </w:rPr>
  </w:style>
  <w:style w:type="character" w:styleId="26">
    <w:name w:val="Hyperlink"/>
    <w:basedOn w:val="23"/>
    <w:unhideWhenUsed/>
    <w:qFormat/>
    <w:uiPriority w:val="99"/>
    <w:rPr>
      <w:color w:val="0563C1" w:themeColor="hyperlink"/>
      <w:u w:val="single"/>
    </w:rPr>
  </w:style>
  <w:style w:type="character" w:styleId="27">
    <w:name w:val="annotation reference"/>
    <w:basedOn w:val="23"/>
    <w:semiHidden/>
    <w:unhideWhenUsed/>
    <w:qFormat/>
    <w:uiPriority w:val="99"/>
    <w:rPr>
      <w:sz w:val="21"/>
      <w:szCs w:val="21"/>
    </w:rPr>
  </w:style>
  <w:style w:type="character" w:styleId="28">
    <w:name w:val="footnote reference"/>
    <w:basedOn w:val="23"/>
    <w:semiHidden/>
    <w:unhideWhenUsed/>
    <w:qFormat/>
    <w:uiPriority w:val="99"/>
    <w:rPr>
      <w:vertAlign w:val="superscript"/>
    </w:rPr>
  </w:style>
  <w:style w:type="character" w:customStyle="1" w:styleId="29">
    <w:name w:val="脚注文本 Char"/>
    <w:basedOn w:val="23"/>
    <w:link w:val="15"/>
    <w:qFormat/>
    <w:uiPriority w:val="99"/>
    <w:rPr>
      <w:sz w:val="18"/>
      <w:szCs w:val="18"/>
    </w:rPr>
  </w:style>
  <w:style w:type="paragraph" w:styleId="30">
    <w:name w:val="List Paragraph"/>
    <w:basedOn w:val="1"/>
    <w:qFormat/>
    <w:uiPriority w:val="34"/>
    <w:pPr>
      <w:ind w:firstLine="420" w:firstLineChars="200"/>
    </w:pPr>
  </w:style>
  <w:style w:type="character" w:customStyle="1" w:styleId="31">
    <w:name w:val="页眉 Char"/>
    <w:basedOn w:val="23"/>
    <w:link w:val="12"/>
    <w:qFormat/>
    <w:uiPriority w:val="99"/>
    <w:rPr>
      <w:sz w:val="18"/>
      <w:szCs w:val="18"/>
    </w:rPr>
  </w:style>
  <w:style w:type="character" w:customStyle="1" w:styleId="32">
    <w:name w:val="页脚 Char"/>
    <w:basedOn w:val="23"/>
    <w:link w:val="11"/>
    <w:qFormat/>
    <w:uiPriority w:val="99"/>
    <w:rPr>
      <w:sz w:val="18"/>
      <w:szCs w:val="18"/>
    </w:rPr>
  </w:style>
  <w:style w:type="character" w:customStyle="1" w:styleId="33">
    <w:name w:val="标题 1 Char"/>
    <w:basedOn w:val="23"/>
    <w:link w:val="2"/>
    <w:qFormat/>
    <w:uiPriority w:val="9"/>
    <w:rPr>
      <w:rFonts w:ascii="Times New Roman" w:hAnsi="Times New Roman" w:eastAsia="Hei" w:cs="Times New Roman"/>
      <w:b/>
      <w:bCs/>
      <w:color w:val="000000" w:themeColor="text1"/>
      <w:kern w:val="44"/>
      <w:sz w:val="30"/>
      <w:szCs w:val="44"/>
    </w:rPr>
  </w:style>
  <w:style w:type="paragraph" w:customStyle="1" w:styleId="34">
    <w:name w:val="TOC 标题1"/>
    <w:basedOn w:val="2"/>
    <w:next w:val="1"/>
    <w:unhideWhenUsed/>
    <w:qFormat/>
    <w:uiPriority w:val="39"/>
    <w:pPr>
      <w:spacing w:before="480" w:after="0" w:line="276" w:lineRule="auto"/>
      <w:jc w:val="left"/>
      <w:outlineLvl w:val="9"/>
    </w:pPr>
    <w:rPr>
      <w:rFonts w:asciiTheme="majorHAnsi" w:hAnsiTheme="majorHAnsi" w:eastAsiaTheme="majorEastAsia" w:cstheme="majorBidi"/>
      <w:color w:val="2F5496" w:themeColor="accent1" w:themeShade="BF"/>
      <w:kern w:val="0"/>
      <w:sz w:val="28"/>
      <w:szCs w:val="28"/>
      <w:lang w:eastAsia="en-US"/>
    </w:rPr>
  </w:style>
  <w:style w:type="character" w:customStyle="1" w:styleId="35">
    <w:name w:val="批注文字 Char"/>
    <w:basedOn w:val="23"/>
    <w:link w:val="6"/>
    <w:qFormat/>
    <w:uiPriority w:val="99"/>
  </w:style>
  <w:style w:type="character" w:customStyle="1" w:styleId="36">
    <w:name w:val="批注主题 Char"/>
    <w:basedOn w:val="35"/>
    <w:link w:val="21"/>
    <w:semiHidden/>
    <w:qFormat/>
    <w:uiPriority w:val="99"/>
    <w:rPr>
      <w:b/>
      <w:bCs/>
    </w:rPr>
  </w:style>
  <w:style w:type="character" w:customStyle="1" w:styleId="37">
    <w:name w:val="批注框文本 Char"/>
    <w:basedOn w:val="23"/>
    <w:link w:val="10"/>
    <w:semiHidden/>
    <w:qFormat/>
    <w:uiPriority w:val="99"/>
    <w:rPr>
      <w:rFonts w:ascii="宋体" w:eastAsia="宋体"/>
      <w:sz w:val="18"/>
      <w:szCs w:val="18"/>
    </w:rPr>
  </w:style>
  <w:style w:type="character" w:customStyle="1" w:styleId="38">
    <w:name w:val="Unresolved Mention"/>
    <w:basedOn w:val="23"/>
    <w:semiHidden/>
    <w:unhideWhenUsed/>
    <w:qFormat/>
    <w:uiPriority w:val="99"/>
    <w:rPr>
      <w:color w:val="605E5C"/>
      <w:shd w:val="clear" w:color="auto" w:fill="E1DFDD"/>
    </w:rPr>
  </w:style>
  <w:style w:type="paragraph" w:styleId="39">
    <w:name w:val="No Spacing"/>
    <w:qFormat/>
    <w:uiPriority w:val="1"/>
    <w:rPr>
      <w:rFonts w:ascii="Times New Roman" w:hAnsi="Times New Roman" w:eastAsia="Times New Roman" w:cs="Times New Roman"/>
      <w:sz w:val="24"/>
      <w:szCs w:val="24"/>
      <w:lang w:val="en-US" w:eastAsia="zh-CN" w:bidi="ar-SA"/>
    </w:rPr>
  </w:style>
  <w:style w:type="character" w:customStyle="1" w:styleId="40">
    <w:name w:val="标题 2 Char"/>
    <w:basedOn w:val="23"/>
    <w:link w:val="3"/>
    <w:qFormat/>
    <w:uiPriority w:val="9"/>
    <w:rPr>
      <w:rFonts w:asciiTheme="majorHAnsi" w:hAnsiTheme="majorHAnsi" w:eastAsiaTheme="majorEastAsia" w:cstheme="majorBidi"/>
      <w:b/>
      <w:bCs/>
      <w:kern w:val="0"/>
      <w:sz w:val="32"/>
      <w:szCs w:val="32"/>
    </w:rPr>
  </w:style>
  <w:style w:type="character" w:customStyle="1" w:styleId="41">
    <w:name w:val="标题 Char"/>
    <w:basedOn w:val="23"/>
    <w:link w:val="20"/>
    <w:qFormat/>
    <w:uiPriority w:val="10"/>
    <w:rPr>
      <w:rFonts w:asciiTheme="majorHAnsi" w:hAnsiTheme="majorHAnsi" w:eastAsiaTheme="majorEastAsia" w:cstheme="majorBidi"/>
      <w:b/>
      <w:bCs/>
      <w:kern w:val="0"/>
      <w:sz w:val="32"/>
      <w:szCs w:val="32"/>
    </w:rPr>
  </w:style>
  <w:style w:type="character" w:customStyle="1" w:styleId="42">
    <w:name w:val="标题 3 Char"/>
    <w:basedOn w:val="23"/>
    <w:link w:val="4"/>
    <w:qFormat/>
    <w:uiPriority w:val="9"/>
    <w:rPr>
      <w:rFonts w:ascii="Times New Roman" w:hAnsi="Times New Roman" w:eastAsia="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1"/>
    <customShpInfo spid="_x0000_s1029"/>
    <customShpInfo spid="_x0000_s1030"/>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D6903-0DD6-48BB-9D79-3D0DB5DE5B17}">
  <ds:schemaRefs/>
</ds:datastoreItem>
</file>

<file path=docProps/app.xml><?xml version="1.0" encoding="utf-8"?>
<Properties xmlns="http://schemas.openxmlformats.org/officeDocument/2006/extended-properties" xmlns:vt="http://schemas.openxmlformats.org/officeDocument/2006/docPropsVTypes">
  <Template>Normal</Template>
  <Pages>34</Pages>
  <Words>3877</Words>
  <Characters>22102</Characters>
  <Lines>184</Lines>
  <Paragraphs>51</Paragraphs>
  <TotalTime>45</TotalTime>
  <ScaleCrop>false</ScaleCrop>
  <LinksUpToDate>false</LinksUpToDate>
  <CharactersWithSpaces>25928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2020-04-26T20:48:00Z</dcterms:created>
  <dc:creator>Microsoft Office User</dc:creator>
  <cp:lastModifiedBy>刘树国</cp:lastModifiedBy>
  <cp:lastPrinted>2020-04-30T04:06:00Z</cp:lastPrinted>
  <dcterms:modified xsi:type="dcterms:W3CDTF">2020-04-30T04:13:13Z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